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9"/>
        <w:spacing w:after="0"/>
        <w:rPr>
          <w:sz w:val="20"/>
          <w:szCs w:val="20"/>
          <w:color w:val="auto"/>
        </w:rPr>
      </w:pPr>
      <w:r>
        <w:rPr>
          <w:rFonts w:ascii="Courier New" w:cs="Courier New" w:eastAsia="Courier New" w:hAnsi="Courier New"/>
          <w:sz w:val="14"/>
          <w:szCs w:val="14"/>
          <w:color w:val="auto"/>
        </w:rPr>
        <w:t>UNITED STATES</w:t>
      </w:r>
    </w:p>
    <w:p>
      <w:pPr>
        <w:spacing w:after="0" w:line="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WASHINGTON, D.C. 20549</w:t>
      </w:r>
    </w:p>
    <w:p>
      <w:pPr>
        <w:spacing w:after="0" w:line="170" w:lineRule="exact"/>
        <w:rPr>
          <w:sz w:val="24"/>
          <w:szCs w:val="24"/>
          <w:color w:val="auto"/>
        </w:rPr>
      </w:pPr>
    </w:p>
    <w:p>
      <w:pPr>
        <w:ind w:left="3080"/>
        <w:spacing w:after="0"/>
        <w:rPr>
          <w:sz w:val="20"/>
          <w:szCs w:val="20"/>
          <w:color w:val="auto"/>
        </w:rPr>
      </w:pPr>
      <w:r>
        <w:rPr>
          <w:rFonts w:ascii="Courier New" w:cs="Courier New" w:eastAsia="Courier New" w:hAnsi="Courier New"/>
          <w:sz w:val="14"/>
          <w:szCs w:val="14"/>
          <w:color w:val="auto"/>
        </w:rPr>
        <w:t>FORM 10-K</w:t>
      </w:r>
    </w:p>
    <w:p>
      <w:pPr>
        <w:spacing w:after="0" w:line="170" w:lineRule="exact"/>
        <w:rPr>
          <w:sz w:val="24"/>
          <w:szCs w:val="24"/>
          <w:color w:val="auto"/>
        </w:rPr>
      </w:pPr>
    </w:p>
    <w:p>
      <w:pPr>
        <w:ind w:left="340" w:right="3319" w:hanging="332"/>
        <w:spacing w:after="0" w:line="251" w:lineRule="auto"/>
        <w:tabs>
          <w:tab w:leader="none" w:pos="3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and Exchange Act of 1934</w:t>
      </w:r>
    </w:p>
    <w:p>
      <w:pPr>
        <w:spacing w:after="0" w:line="32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FOR THE FISCAL YEAR ENDED DECEMBER 31, 1999</w:t>
      </w:r>
    </w:p>
    <w:p>
      <w:pPr>
        <w:spacing w:after="0" w:line="170" w:lineRule="exact"/>
        <w:rPr>
          <w:sz w:val="24"/>
          <w:szCs w:val="24"/>
          <w:color w:val="auto"/>
        </w:rPr>
      </w:pPr>
    </w:p>
    <w:p>
      <w:pPr>
        <w:ind w:left="2220"/>
        <w:spacing w:after="0"/>
        <w:rPr>
          <w:sz w:val="20"/>
          <w:szCs w:val="20"/>
          <w:color w:val="auto"/>
        </w:rPr>
      </w:pPr>
      <w:r>
        <w:rPr>
          <w:rFonts w:ascii="Courier New" w:cs="Courier New" w:eastAsia="Courier New" w:hAnsi="Courier New"/>
          <w:sz w:val="14"/>
          <w:szCs w:val="14"/>
          <w:color w:val="auto"/>
        </w:rPr>
        <w:t>Commission File Number 1-5581</w:t>
      </w:r>
    </w:p>
    <w:p>
      <w:pPr>
        <w:spacing w:after="0" w:line="170" w:lineRule="exact"/>
        <w:rPr>
          <w:sz w:val="24"/>
          <w:szCs w:val="24"/>
          <w:color w:val="auto"/>
        </w:rPr>
      </w:pPr>
    </w:p>
    <w:p>
      <w:pPr>
        <w:ind w:left="2920"/>
        <w:spacing w:after="0"/>
        <w:rPr>
          <w:sz w:val="20"/>
          <w:szCs w:val="20"/>
          <w:color w:val="auto"/>
        </w:rPr>
      </w:pPr>
      <w:r>
        <w:rPr>
          <w:rFonts w:ascii="Courier New" w:cs="Courier New" w:eastAsia="Courier New" w:hAnsi="Courier New"/>
          <w:sz w:val="14"/>
          <w:szCs w:val="14"/>
          <w:color w:val="auto"/>
        </w:rPr>
        <w:t>WATSCO, INC.</w:t>
      </w:r>
    </w:p>
    <w:p>
      <w:pPr>
        <w:spacing w:after="0" w:line="6" w:lineRule="exact"/>
        <w:rPr>
          <w:sz w:val="24"/>
          <w:szCs w:val="24"/>
          <w:color w:val="auto"/>
        </w:rPr>
      </w:pPr>
    </w:p>
    <w:p>
      <w:pPr>
        <w:ind w:left="2920"/>
        <w:spacing w:after="0"/>
        <w:rPr>
          <w:sz w:val="20"/>
          <w:szCs w:val="20"/>
          <w:color w:val="auto"/>
        </w:rPr>
      </w:pPr>
      <w:r>
        <w:rPr>
          <w:rFonts w:ascii="Courier New" w:cs="Courier New" w:eastAsia="Courier New" w:hAnsi="Courier New"/>
          <w:sz w:val="14"/>
          <w:szCs w:val="14"/>
          <w:color w:val="auto"/>
        </w:rPr>
        <w:t>------------</w:t>
      </w:r>
    </w:p>
    <w:p>
      <w:pPr>
        <w:spacing w:after="0" w:line="6"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jc w:val="center"/>
              <w:ind w:right="1009"/>
              <w:spacing w:after="0"/>
              <w:rPr>
                <w:sz w:val="20"/>
                <w:szCs w:val="20"/>
                <w:color w:val="auto"/>
              </w:rPr>
            </w:pPr>
            <w:r>
              <w:rPr>
                <w:rFonts w:ascii="Courier New" w:cs="Courier New" w:eastAsia="Courier New" w:hAnsi="Courier New"/>
                <w:sz w:val="14"/>
                <w:szCs w:val="14"/>
                <w:color w:val="auto"/>
              </w:rPr>
              <w:t>FLORIDA</w:t>
            </w:r>
          </w:p>
        </w:tc>
        <w:tc>
          <w:tcPr>
            <w:tcW w:w="2740" w:type="dxa"/>
            <w:vAlign w:val="bottom"/>
          </w:tcPr>
          <w:p>
            <w:pPr>
              <w:jc w:val="center"/>
              <w:ind w:left="969"/>
              <w:spacing w:after="0"/>
              <w:rPr>
                <w:sz w:val="20"/>
                <w:szCs w:val="20"/>
                <w:color w:val="auto"/>
              </w:rPr>
            </w:pPr>
            <w:r>
              <w:rPr>
                <w:rFonts w:ascii="Courier New" w:cs="Courier New" w:eastAsia="Courier New" w:hAnsi="Courier New"/>
                <w:sz w:val="14"/>
                <w:szCs w:val="14"/>
                <w:color w:val="auto"/>
              </w:rPr>
              <w:t>59-0778222</w:t>
            </w:r>
          </w:p>
        </w:tc>
      </w:tr>
      <w:tr>
        <w:trPr>
          <w:trHeight w:val="164"/>
        </w:trPr>
        <w:tc>
          <w:tcPr>
            <w:tcW w:w="3760" w:type="dxa"/>
            <w:vAlign w:val="bottom"/>
          </w:tcPr>
          <w:p>
            <w:pPr>
              <w:jc w:val="center"/>
              <w:ind w:right="1009"/>
              <w:spacing w:after="0"/>
              <w:rPr>
                <w:sz w:val="20"/>
                <w:szCs w:val="20"/>
                <w:color w:val="auto"/>
              </w:rPr>
            </w:pPr>
            <w:r>
              <w:rPr>
                <w:rFonts w:ascii="Courier New" w:cs="Courier New" w:eastAsia="Courier New" w:hAnsi="Courier New"/>
                <w:sz w:val="14"/>
                <w:szCs w:val="14"/>
                <w:color w:val="auto"/>
              </w:rPr>
              <w:t>-------</w:t>
            </w:r>
          </w:p>
        </w:tc>
        <w:tc>
          <w:tcPr>
            <w:tcW w:w="2740" w:type="dxa"/>
            <w:vAlign w:val="bottom"/>
          </w:tcPr>
          <w:p>
            <w:pPr>
              <w:jc w:val="center"/>
              <w:ind w:left="969"/>
              <w:spacing w:after="0"/>
              <w:rPr>
                <w:sz w:val="20"/>
                <w:szCs w:val="20"/>
                <w:color w:val="auto"/>
              </w:rPr>
            </w:pPr>
            <w:r>
              <w:rPr>
                <w:rFonts w:ascii="Courier New" w:cs="Courier New" w:eastAsia="Courier New" w:hAnsi="Courier New"/>
                <w:sz w:val="14"/>
                <w:szCs w:val="14"/>
                <w:color w:val="auto"/>
              </w:rPr>
              <w:t>----------</w:t>
            </w:r>
          </w:p>
        </w:tc>
      </w:tr>
      <w:tr>
        <w:trPr>
          <w:trHeight w:val="164"/>
        </w:trPr>
        <w:tc>
          <w:tcPr>
            <w:tcW w:w="3760" w:type="dxa"/>
            <w:vAlign w:val="bottom"/>
          </w:tcPr>
          <w:p>
            <w:pPr>
              <w:jc w:val="center"/>
              <w:ind w:right="1029"/>
              <w:spacing w:after="0"/>
              <w:rPr>
                <w:sz w:val="20"/>
                <w:szCs w:val="20"/>
                <w:color w:val="auto"/>
              </w:rPr>
            </w:pPr>
            <w:r>
              <w:rPr>
                <w:rFonts w:ascii="Courier New" w:cs="Courier New" w:eastAsia="Courier New" w:hAnsi="Courier New"/>
                <w:sz w:val="14"/>
                <w:szCs w:val="14"/>
                <w:color w:val="auto"/>
              </w:rPr>
              <w:t>(State or other jurisdiction of</w:t>
            </w:r>
          </w:p>
        </w:tc>
        <w:tc>
          <w:tcPr>
            <w:tcW w:w="2740" w:type="dxa"/>
            <w:vAlign w:val="bottom"/>
          </w:tcPr>
          <w:p>
            <w:pPr>
              <w:jc w:val="center"/>
              <w:ind w:left="969"/>
              <w:spacing w:after="0"/>
              <w:rPr>
                <w:sz w:val="20"/>
                <w:szCs w:val="20"/>
                <w:color w:val="auto"/>
              </w:rPr>
            </w:pPr>
            <w:r>
              <w:rPr>
                <w:rFonts w:ascii="Courier New" w:cs="Courier New" w:eastAsia="Courier New" w:hAnsi="Courier New"/>
                <w:sz w:val="14"/>
                <w:szCs w:val="14"/>
                <w:color w:val="auto"/>
              </w:rPr>
              <w:t>(I.R.S. Employer</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incorporation or organization)</w:t>
            </w:r>
          </w:p>
        </w:tc>
        <w:tc>
          <w:tcPr>
            <w:tcW w:w="2740" w:type="dxa"/>
            <w:vAlign w:val="bottom"/>
          </w:tcPr>
          <w:p>
            <w:pPr>
              <w:ind w:left="1120"/>
              <w:spacing w:after="0"/>
              <w:rPr>
                <w:sz w:val="20"/>
                <w:szCs w:val="20"/>
                <w:color w:val="auto"/>
              </w:rPr>
            </w:pPr>
            <w:r>
              <w:rPr>
                <w:rFonts w:ascii="Courier New" w:cs="Courier New" w:eastAsia="Courier New" w:hAnsi="Courier New"/>
                <w:sz w:val="14"/>
                <w:szCs w:val="14"/>
                <w:color w:val="auto"/>
              </w:rPr>
              <w:t>Identification No.)</w:t>
            </w:r>
          </w:p>
        </w:tc>
      </w:tr>
    </w:tbl>
    <w:p>
      <w:pPr>
        <w:spacing w:after="0" w:line="168"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2665 South Bayshore Drive, Suite 901, Coconut Grove, FL 33133</w:t>
      </w:r>
    </w:p>
    <w:p>
      <w:pPr>
        <w:spacing w:after="0" w:line="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70"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Registrant's telephone number, including area code: (305) 714-4100</w:t>
      </w:r>
    </w:p>
    <w:p>
      <w:pPr>
        <w:spacing w:after="0" w:line="170" w:lineRule="exact"/>
        <w:rPr>
          <w:sz w:val="24"/>
          <w:szCs w:val="24"/>
          <w:color w:val="auto"/>
        </w:rPr>
      </w:pPr>
    </w:p>
    <w:p>
      <w:pPr>
        <w:ind w:left="94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159"/>
          </w:cols>
          <w:pgMar w:left="300" w:top="558" w:right="1440" w:bottom="0" w:gutter="0" w:footer="0" w:header="0"/>
        </w:sectPr>
      </w:pPr>
    </w:p>
    <w:p>
      <w:pPr>
        <w:spacing w:after="0" w:line="200" w:lineRule="exact"/>
        <w:rPr>
          <w:sz w:val="24"/>
          <w:szCs w:val="24"/>
          <w:color w:val="auto"/>
        </w:rPr>
      </w:pPr>
    </w:p>
    <w:p>
      <w:pPr>
        <w:spacing w:after="0" w:line="299"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TITLE OF EACH CLASS</w:t>
      </w:r>
    </w:p>
    <w:p>
      <w:pPr>
        <w:spacing w:after="0" w:line="6"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760" w:space="720"/>
            <w:col w:w="4679"/>
          </w:cols>
          <w:pgMar w:left="300" w:top="558" w:right="1440" w:bottom="0" w:gutter="0" w:footer="0" w:header="0"/>
          <w:type w:val="continuous"/>
        </w:sectPr>
      </w:pPr>
    </w:p>
    <w:p>
      <w:pPr>
        <w:spacing w:after="0" w:line="13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Common Stock, $.50 par value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0" w:lineRule="exact"/>
        <w:rPr>
          <w:sz w:val="24"/>
          <w:szCs w:val="24"/>
          <w:color w:val="auto"/>
        </w:rPr>
      </w:pPr>
    </w:p>
    <w:p>
      <w:pPr>
        <w:sectPr>
          <w:pgSz w:w="11900" w:h="16838" w:orient="portrait"/>
          <w:cols w:equalWidth="0" w:num="2">
            <w:col w:w="5700" w:space="720"/>
            <w:col w:w="3739"/>
          </w:cols>
          <w:pgMar w:left="300" w:top="558" w:right="1440"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Class B Common Stock, $.50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American Stock Exchange</w:t>
      </w:r>
    </w:p>
    <w:p>
      <w:pPr>
        <w:spacing w:after="0" w:line="200" w:lineRule="exact"/>
        <w:rPr>
          <w:sz w:val="24"/>
          <w:szCs w:val="24"/>
          <w:color w:val="auto"/>
        </w:rPr>
      </w:pPr>
    </w:p>
    <w:p>
      <w:pPr>
        <w:sectPr>
          <w:pgSz w:w="11900" w:h="16838" w:orient="portrait"/>
          <w:cols w:equalWidth="0" w:num="2">
            <w:col w:w="5700" w:space="720"/>
            <w:col w:w="3739"/>
          </w:cols>
          <w:pgMar w:left="300" w:top="558" w:right="1440" w:bottom="0" w:gutter="0" w:footer="0" w:header="0"/>
          <w:type w:val="continuous"/>
        </w:sectPr>
      </w:pPr>
    </w:p>
    <w:p>
      <w:pPr>
        <w:spacing w:after="0" w:line="134" w:lineRule="exact"/>
        <w:rPr>
          <w:sz w:val="24"/>
          <w:szCs w:val="24"/>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_X_ NO __</w:t>
      </w:r>
    </w:p>
    <w:p>
      <w:pPr>
        <w:spacing w:after="0" w:line="163" w:lineRule="exact"/>
        <w:rPr>
          <w:sz w:val="24"/>
          <w:szCs w:val="24"/>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l0-K or any amendment to this Form l0-K. _X_</w:t>
      </w:r>
    </w:p>
    <w:p>
      <w:pPr>
        <w:spacing w:after="0" w:line="163" w:lineRule="exact"/>
        <w:rPr>
          <w:sz w:val="24"/>
          <w:szCs w:val="24"/>
          <w:color w:val="auto"/>
        </w:rPr>
      </w:pPr>
    </w:p>
    <w:p>
      <w:pPr>
        <w:ind w:right="3659"/>
        <w:spacing w:after="0" w:line="251"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as of March 22, 2000 was approximately $232.9 million.</w:t>
      </w:r>
    </w:p>
    <w:p>
      <w:pPr>
        <w:spacing w:after="0" w:line="161" w:lineRule="exact"/>
        <w:rPr>
          <w:sz w:val="24"/>
          <w:szCs w:val="24"/>
          <w:color w:val="auto"/>
        </w:rPr>
      </w:pPr>
    </w:p>
    <w:p>
      <w:pPr>
        <w:ind w:right="3479"/>
        <w:spacing w:after="0" w:line="250" w:lineRule="auto"/>
        <w:rPr>
          <w:sz w:val="20"/>
          <w:szCs w:val="20"/>
          <w:color w:val="auto"/>
        </w:rPr>
      </w:pPr>
      <w:r>
        <w:rPr>
          <w:rFonts w:ascii="Courier New" w:cs="Courier New" w:eastAsia="Courier New" w:hAnsi="Courier New"/>
          <w:sz w:val="14"/>
          <w:szCs w:val="14"/>
          <w:color w:val="auto"/>
        </w:rPr>
        <w:t>The number of shares of common stock outstanding as of March 22, 2000 was 24,115,555 shares of Common Stock, excluding treasury shares of 2,006,300, and 3,228,806 shares of Class B Common Stock.</w:t>
      </w:r>
    </w:p>
    <w:p>
      <w:pPr>
        <w:spacing w:after="0" w:line="162"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0" w:lineRule="exact"/>
        <w:rPr>
          <w:sz w:val="24"/>
          <w:szCs w:val="24"/>
          <w:color w:val="auto"/>
        </w:rPr>
      </w:pPr>
    </w:p>
    <w:p>
      <w:pPr>
        <w:jc w:val="both"/>
        <w:ind w:right="3319"/>
        <w:spacing w:after="0" w:line="248" w:lineRule="auto"/>
        <w:rPr>
          <w:sz w:val="20"/>
          <w:szCs w:val="20"/>
          <w:color w:val="auto"/>
        </w:rPr>
      </w:pPr>
      <w:r>
        <w:rPr>
          <w:rFonts w:ascii="Courier New" w:cs="Courier New" w:eastAsia="Courier New" w:hAnsi="Courier New"/>
          <w:sz w:val="14"/>
          <w:szCs w:val="14"/>
          <w:color w:val="auto"/>
        </w:rPr>
        <w:t>Certain information required by Parts I and II is incorporated by reference from the Annual Report to Shareholders for the year ended December 31, 1999, attached hereto as Exhibit 13. The information required by Part III (Items 10, 11, 12 and</w:t>
      </w:r>
    </w:p>
    <w:p>
      <w:pPr>
        <w:spacing w:after="0" w:line="1" w:lineRule="exact"/>
        <w:rPr>
          <w:sz w:val="24"/>
          <w:szCs w:val="24"/>
          <w:color w:val="auto"/>
        </w:rPr>
      </w:pPr>
    </w:p>
    <w:p>
      <w:pPr>
        <w:ind w:right="3659" w:firstLine="8"/>
        <w:spacing w:after="0" w:line="251" w:lineRule="auto"/>
        <w:tabs>
          <w:tab w:leader="none" w:pos="34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 incorporated by reference from the Registrant's definitive proxy statement (to be filed pursuant to Regulation 14A).</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WATSCO, INC.</w:t>
      </w:r>
    </w:p>
    <w:p>
      <w:pPr>
        <w:spacing w:after="0" w:line="170" w:lineRule="exact"/>
        <w:rPr>
          <w:sz w:val="24"/>
          <w:szCs w:val="24"/>
          <w:color w:val="auto"/>
        </w:rPr>
      </w:pPr>
    </w:p>
    <w:p>
      <w:pPr>
        <w:ind w:left="27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INDEX TO ANNUAL REPORT</w:t>
      </w:r>
    </w:p>
    <w:p>
      <w:pPr>
        <w:spacing w:after="0" w:line="6"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ON FORM 10-K</w:t>
      </w:r>
    </w:p>
    <w:p>
      <w:pPr>
        <w:spacing w:after="0" w:line="6"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YEAR ENDED DECEMBER 31, 1999</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5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4"/>
        </w:trPr>
        <w:tc>
          <w:tcPr>
            <w:tcW w:w="7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78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5980" w:type="dxa"/>
            <w:vAlign w:val="bottom"/>
          </w:tcPr>
          <w:p>
            <w:pPr>
              <w:ind w:left="160"/>
              <w:spacing w:after="0"/>
              <w:rPr>
                <w:sz w:val="20"/>
                <w:szCs w:val="20"/>
                <w:color w:val="auto"/>
              </w:rPr>
            </w:pPr>
            <w:r>
              <w:rPr>
                <w:rFonts w:ascii="Courier New" w:cs="Courier New" w:eastAsia="Courier New" w:hAnsi="Courier New"/>
                <w:sz w:val="14"/>
                <w:szCs w:val="14"/>
                <w:color w:val="auto"/>
              </w:rPr>
              <w:t>BUSINESS</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w:t>
            </w:r>
          </w:p>
        </w:tc>
      </w:tr>
      <w:tr>
        <w:trPr>
          <w:trHeight w:val="329"/>
        </w:trPr>
        <w:tc>
          <w:tcPr>
            <w:tcW w:w="78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980" w:type="dxa"/>
            <w:vAlign w:val="bottom"/>
          </w:tcPr>
          <w:p>
            <w:pPr>
              <w:ind w:left="160"/>
              <w:spacing w:after="0"/>
              <w:rPr>
                <w:sz w:val="20"/>
                <w:szCs w:val="20"/>
                <w:color w:val="auto"/>
              </w:rPr>
            </w:pPr>
            <w:r>
              <w:rPr>
                <w:rFonts w:ascii="Courier New" w:cs="Courier New" w:eastAsia="Courier New" w:hAnsi="Courier New"/>
                <w:sz w:val="14"/>
                <w:szCs w:val="14"/>
                <w:color w:val="auto"/>
              </w:rPr>
              <w:t>PROPERTIES</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w:t>
            </w:r>
          </w:p>
        </w:tc>
      </w:tr>
      <w:tr>
        <w:trPr>
          <w:trHeight w:val="329"/>
        </w:trPr>
        <w:tc>
          <w:tcPr>
            <w:tcW w:w="78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980" w:type="dxa"/>
            <w:vAlign w:val="bottom"/>
          </w:tcPr>
          <w:p>
            <w:pPr>
              <w:ind w:left="160"/>
              <w:spacing w:after="0"/>
              <w:rPr>
                <w:sz w:val="20"/>
                <w:szCs w:val="20"/>
                <w:color w:val="auto"/>
              </w:rPr>
            </w:pPr>
            <w:r>
              <w:rPr>
                <w:rFonts w:ascii="Courier New" w:cs="Courier New" w:eastAsia="Courier New" w:hAnsi="Courier New"/>
                <w:sz w:val="14"/>
                <w:szCs w:val="14"/>
                <w:color w:val="auto"/>
              </w:rPr>
              <w:t>LEGAL PROCEEDINGS</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w:t>
            </w:r>
          </w:p>
        </w:tc>
      </w:tr>
      <w:tr>
        <w:trPr>
          <w:trHeight w:val="329"/>
        </w:trPr>
        <w:tc>
          <w:tcPr>
            <w:tcW w:w="78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980" w:type="dxa"/>
            <w:vAlign w:val="bottom"/>
          </w:tcPr>
          <w:p>
            <w:pPr>
              <w:ind w:left="16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w:t>
            </w:r>
          </w:p>
        </w:tc>
      </w:tr>
      <w:tr>
        <w:trPr>
          <w:trHeight w:val="493"/>
        </w:trPr>
        <w:tc>
          <w:tcPr>
            <w:tcW w:w="78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59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9"/>
        </w:trPr>
        <w:tc>
          <w:tcPr>
            <w:tcW w:w="78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5980" w:type="dxa"/>
            <w:vAlign w:val="bottom"/>
          </w:tcPr>
          <w:p>
            <w:pPr>
              <w:ind w:left="160"/>
              <w:spacing w:after="0"/>
              <w:rPr>
                <w:sz w:val="20"/>
                <w:szCs w:val="20"/>
                <w:color w:val="auto"/>
              </w:rPr>
            </w:pPr>
            <w:r>
              <w:rPr>
                <w:rFonts w:ascii="Courier New" w:cs="Courier New" w:eastAsia="Courier New" w:hAnsi="Courier New"/>
                <w:sz w:val="14"/>
                <w:szCs w:val="14"/>
                <w:color w:val="auto"/>
              </w:rPr>
              <w:t>MARKET FOR THE REGISTRANT'S COMMON EQUITY AND RELATED STOCKHOLDER</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w:t>
            </w:r>
          </w:p>
        </w:tc>
      </w:tr>
      <w:tr>
        <w:trPr>
          <w:trHeight w:val="164"/>
        </w:trPr>
        <w:tc>
          <w:tcPr>
            <w:tcW w:w="780" w:type="dxa"/>
            <w:vAlign w:val="bottom"/>
          </w:tcPr>
          <w:p>
            <w:pPr>
              <w:spacing w:after="0"/>
              <w:rPr>
                <w:sz w:val="14"/>
                <w:szCs w:val="14"/>
                <w:color w:val="auto"/>
              </w:rPr>
            </w:pPr>
          </w:p>
        </w:tc>
        <w:tc>
          <w:tcPr>
            <w:tcW w:w="5980" w:type="dxa"/>
            <w:vAlign w:val="bottom"/>
          </w:tcPr>
          <w:p>
            <w:pPr>
              <w:ind w:left="160"/>
              <w:spacing w:after="0"/>
              <w:rPr>
                <w:sz w:val="20"/>
                <w:szCs w:val="20"/>
                <w:color w:val="auto"/>
              </w:rPr>
            </w:pPr>
            <w:r>
              <w:rPr>
                <w:rFonts w:ascii="Courier New" w:cs="Courier New" w:eastAsia="Courier New" w:hAnsi="Courier New"/>
                <w:sz w:val="14"/>
                <w:szCs w:val="14"/>
                <w:color w:val="auto"/>
              </w:rPr>
              <w:t>MATTERS</w:t>
            </w:r>
          </w:p>
        </w:tc>
        <w:tc>
          <w:tcPr>
            <w:tcW w:w="600" w:type="dxa"/>
            <w:vAlign w:val="bottom"/>
          </w:tcPr>
          <w:p>
            <w:pPr>
              <w:spacing w:after="0"/>
              <w:rPr>
                <w:sz w:val="14"/>
                <w:szCs w:val="14"/>
                <w:color w:val="auto"/>
              </w:rPr>
            </w:pPr>
          </w:p>
        </w:tc>
      </w:tr>
    </w:tbl>
    <w:p>
      <w:pPr>
        <w:sectPr>
          <w:pgSz w:w="11900" w:h="16838" w:orient="portrait"/>
          <w:cols w:equalWidth="0" w:num="1">
            <w:col w:w="10159"/>
          </w:cols>
          <w:pgMar w:left="300" w:top="558"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900" w:type="dxa"/>
            <w:vAlign w:val="bottom"/>
          </w:tcPr>
          <w:p>
            <w:pPr>
              <w:ind w:left="120"/>
              <w:spacing w:after="0"/>
              <w:rPr>
                <w:sz w:val="20"/>
                <w:szCs w:val="20"/>
                <w:color w:val="auto"/>
              </w:rPr>
            </w:pPr>
            <w:r>
              <w:rPr>
                <w:rFonts w:ascii="Courier New" w:cs="Courier New" w:eastAsia="Courier New" w:hAnsi="Courier New"/>
                <w:sz w:val="14"/>
                <w:szCs w:val="14"/>
                <w:color w:val="auto"/>
              </w:rPr>
              <w:t>SELECTED FINANCIAL DATA</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329"/>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900" w:type="dxa"/>
            <w:vAlign w:val="bottom"/>
          </w:tcPr>
          <w:p>
            <w:pPr>
              <w:ind w:left="120"/>
              <w:spacing w:after="0"/>
              <w:rPr>
                <w:sz w:val="20"/>
                <w:szCs w:val="20"/>
                <w:color w:val="auto"/>
              </w:rPr>
            </w:pPr>
            <w:r>
              <w:rPr>
                <w:rFonts w:ascii="Courier New" w:cs="Courier New" w:eastAsia="Courier New" w:hAnsi="Courier New"/>
                <w:sz w:val="14"/>
                <w:szCs w:val="14"/>
                <w:color w:val="auto"/>
              </w:rPr>
              <w:t>MANAGEMENT'S DISCUSSION AND ANALYSIS OF FINANCIAL CONDITION AND</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4"/>
        </w:trPr>
        <w:tc>
          <w:tcPr>
            <w:tcW w:w="820" w:type="dxa"/>
            <w:vAlign w:val="bottom"/>
          </w:tcPr>
          <w:p>
            <w:pPr>
              <w:spacing w:after="0"/>
              <w:rPr>
                <w:sz w:val="14"/>
                <w:szCs w:val="14"/>
                <w:color w:val="auto"/>
              </w:rPr>
            </w:pPr>
          </w:p>
        </w:tc>
        <w:tc>
          <w:tcPr>
            <w:tcW w:w="5900" w:type="dxa"/>
            <w:vAlign w:val="bottom"/>
          </w:tcPr>
          <w:p>
            <w:pPr>
              <w:ind w:left="120"/>
              <w:spacing w:after="0"/>
              <w:rPr>
                <w:sz w:val="20"/>
                <w:szCs w:val="20"/>
                <w:color w:val="auto"/>
              </w:rPr>
            </w:pPr>
            <w:r>
              <w:rPr>
                <w:rFonts w:ascii="Courier New" w:cs="Courier New" w:eastAsia="Courier New" w:hAnsi="Courier New"/>
                <w:sz w:val="14"/>
                <w:szCs w:val="14"/>
                <w:color w:val="auto"/>
              </w:rPr>
              <w:t>RESULTS OF OPERATIONS</w:t>
            </w:r>
          </w:p>
        </w:tc>
        <w:tc>
          <w:tcPr>
            <w:tcW w:w="460" w:type="dxa"/>
            <w:vAlign w:val="bottom"/>
          </w:tcPr>
          <w:p>
            <w:pPr>
              <w:spacing w:after="0"/>
              <w:rPr>
                <w:sz w:val="14"/>
                <w:szCs w:val="14"/>
                <w:color w:val="auto"/>
              </w:rPr>
            </w:pPr>
          </w:p>
        </w:tc>
      </w:tr>
      <w:tr>
        <w:trPr>
          <w:trHeight w:val="329"/>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7A.</w:t>
            </w:r>
          </w:p>
        </w:tc>
        <w:tc>
          <w:tcPr>
            <w:tcW w:w="5900" w:type="dxa"/>
            <w:vAlign w:val="bottom"/>
          </w:tcPr>
          <w:p>
            <w:pPr>
              <w:ind w:left="120"/>
              <w:spacing w:after="0"/>
              <w:rPr>
                <w:sz w:val="20"/>
                <w:szCs w:val="20"/>
                <w:color w:val="auto"/>
              </w:rPr>
            </w:pPr>
            <w:r>
              <w:rPr>
                <w:rFonts w:ascii="Courier New" w:cs="Courier New" w:eastAsia="Courier New" w:hAnsi="Courier New"/>
                <w:sz w:val="14"/>
                <w:szCs w:val="14"/>
                <w:color w:val="auto"/>
              </w:rPr>
              <w:t>QUALITATIVE AND QUANTITATIVE DISCLOSURES ABOUT MARKET RISK</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329"/>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900" w:type="dxa"/>
            <w:vAlign w:val="bottom"/>
          </w:tcPr>
          <w:p>
            <w:pPr>
              <w:ind w:left="12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329"/>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5900" w:type="dxa"/>
            <w:vAlign w:val="bottom"/>
          </w:tcPr>
          <w:p>
            <w:pPr>
              <w:ind w:left="120"/>
              <w:spacing w:after="0"/>
              <w:rPr>
                <w:sz w:val="20"/>
                <w:szCs w:val="20"/>
                <w:color w:val="auto"/>
              </w:rPr>
            </w:pPr>
            <w:r>
              <w:rPr>
                <w:rFonts w:ascii="Courier New" w:cs="Courier New" w:eastAsia="Courier New" w:hAnsi="Courier New"/>
                <w:sz w:val="14"/>
                <w:szCs w:val="14"/>
                <w:color w:val="auto"/>
              </w:rPr>
              <w:t>CHANGES IN AND DISAGREEMENTS WITH ACCOUNTANTS ON ACCOUNTING AND</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4"/>
        </w:trPr>
        <w:tc>
          <w:tcPr>
            <w:tcW w:w="820" w:type="dxa"/>
            <w:vAlign w:val="bottom"/>
          </w:tcPr>
          <w:p>
            <w:pPr>
              <w:spacing w:after="0"/>
              <w:rPr>
                <w:sz w:val="14"/>
                <w:szCs w:val="14"/>
                <w:color w:val="auto"/>
              </w:rPr>
            </w:pPr>
          </w:p>
        </w:tc>
        <w:tc>
          <w:tcPr>
            <w:tcW w:w="5900" w:type="dxa"/>
            <w:vAlign w:val="bottom"/>
          </w:tcPr>
          <w:p>
            <w:pPr>
              <w:ind w:left="120"/>
              <w:spacing w:after="0"/>
              <w:rPr>
                <w:sz w:val="20"/>
                <w:szCs w:val="20"/>
                <w:color w:val="auto"/>
              </w:rPr>
            </w:pPr>
            <w:r>
              <w:rPr>
                <w:rFonts w:ascii="Courier New" w:cs="Courier New" w:eastAsia="Courier New" w:hAnsi="Courier New"/>
                <w:sz w:val="14"/>
                <w:szCs w:val="14"/>
                <w:color w:val="auto"/>
              </w:rPr>
              <w:t>FINANCIAL DISCLOSURE</w:t>
            </w:r>
          </w:p>
        </w:tc>
        <w:tc>
          <w:tcPr>
            <w:tcW w:w="460" w:type="dxa"/>
            <w:vAlign w:val="bottom"/>
          </w:tcPr>
          <w:p>
            <w:pPr>
              <w:spacing w:after="0"/>
              <w:rPr>
                <w:sz w:val="14"/>
                <w:szCs w:val="14"/>
                <w:color w:val="auto"/>
              </w:rPr>
            </w:pPr>
          </w:p>
        </w:tc>
      </w:tr>
      <w:tr>
        <w:trPr>
          <w:trHeight w:val="329"/>
        </w:trPr>
        <w:tc>
          <w:tcPr>
            <w:tcW w:w="82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59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29"/>
        </w:trPr>
        <w:tc>
          <w:tcPr>
            <w:tcW w:w="820" w:type="dxa"/>
            <w:vAlign w:val="bottom"/>
          </w:tcPr>
          <w:p>
            <w:pPr>
              <w:spacing w:after="0"/>
              <w:rPr>
                <w:sz w:val="20"/>
                <w:szCs w:val="20"/>
                <w:color w:val="auto"/>
              </w:rPr>
            </w:pPr>
            <w:r>
              <w:rPr>
                <w:rFonts w:ascii="Courier New" w:cs="Courier New" w:eastAsia="Courier New" w:hAnsi="Courier New"/>
                <w:sz w:val="14"/>
                <w:szCs w:val="14"/>
                <w:color w:val="auto"/>
              </w:rPr>
              <w:t>PART IV</w:t>
            </w:r>
          </w:p>
        </w:tc>
        <w:tc>
          <w:tcPr>
            <w:tcW w:w="59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29"/>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5900" w:type="dxa"/>
            <w:vAlign w:val="bottom"/>
          </w:tcPr>
          <w:p>
            <w:pPr>
              <w:ind w:left="120"/>
              <w:spacing w:after="0"/>
              <w:rPr>
                <w:sz w:val="20"/>
                <w:szCs w:val="20"/>
                <w:color w:val="auto"/>
              </w:rPr>
            </w:pPr>
            <w:r>
              <w:rPr>
                <w:rFonts w:ascii="Courier New" w:cs="Courier New" w:eastAsia="Courier New" w:hAnsi="Courier New"/>
                <w:sz w:val="14"/>
                <w:szCs w:val="14"/>
                <w:color w:val="auto"/>
              </w:rPr>
              <w:t>EXHIBITS, FINANCIAL STATEMENT SCHEDULES AND REPORTS ON FORM 8-K</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29"/>
        </w:trPr>
        <w:tc>
          <w:tcPr>
            <w:tcW w:w="820" w:type="dxa"/>
            <w:vAlign w:val="bottom"/>
          </w:tcPr>
          <w:p>
            <w:pPr>
              <w:spacing w:after="0"/>
              <w:rPr>
                <w:sz w:val="24"/>
                <w:szCs w:val="24"/>
                <w:color w:val="auto"/>
              </w:rPr>
            </w:pPr>
          </w:p>
        </w:tc>
        <w:tc>
          <w:tcPr>
            <w:tcW w:w="5900" w:type="dxa"/>
            <w:vAlign w:val="bottom"/>
          </w:tcPr>
          <w:p>
            <w:pPr>
              <w:ind w:left="2520"/>
              <w:spacing w:after="0"/>
              <w:rPr>
                <w:sz w:val="20"/>
                <w:szCs w:val="20"/>
                <w:color w:val="auto"/>
              </w:rPr>
            </w:pPr>
            <w:r>
              <w:rPr>
                <w:rFonts w:ascii="Courier New" w:cs="Courier New" w:eastAsia="Courier New" w:hAnsi="Courier New"/>
                <w:sz w:val="14"/>
                <w:szCs w:val="14"/>
                <w:color w:val="auto"/>
              </w:rPr>
              <w:t>2</w:t>
            </w:r>
          </w:p>
        </w:tc>
        <w:tc>
          <w:tcPr>
            <w:tcW w:w="460" w:type="dxa"/>
            <w:vAlign w:val="bottom"/>
          </w:tcPr>
          <w:p>
            <w:pPr>
              <w:spacing w:after="0"/>
              <w:rPr>
                <w:sz w:val="24"/>
                <w:szCs w:val="24"/>
                <w:color w:val="auto"/>
              </w:rPr>
            </w:pPr>
          </w:p>
        </w:tc>
      </w:tr>
    </w:tbl>
    <w:p>
      <w:pPr>
        <w:sectPr>
          <w:pgSz w:w="11900" w:h="16838" w:orient="portrait"/>
          <w:cols w:equalWidth="0" w:num="1">
            <w:col w:w="10159"/>
          </w:cols>
          <w:pgMar w:left="300" w:top="306" w:right="1440" w:bottom="1440" w:gutter="0" w:footer="0" w:header="0"/>
        </w:sectPr>
      </w:pPr>
    </w:p>
    <w:bookmarkStart w:id="2" w:name="page3"/>
    <w:bookmarkEnd w:id="2"/>
    <w:p>
      <w:pPr>
        <w:jc w:val="center"/>
        <w:ind w:right="3319"/>
        <w:spacing w:after="0"/>
        <w:rPr>
          <w:sz w:val="20"/>
          <w:szCs w:val="20"/>
          <w:color w:val="auto"/>
        </w:rPr>
      </w:pPr>
      <w:r>
        <w:rPr>
          <w:rFonts w:ascii="Courier New" w:cs="Courier New" w:eastAsia="Courier New" w:hAnsi="Courier New"/>
          <w:sz w:val="14"/>
          <w:szCs w:val="14"/>
          <w:color w:val="auto"/>
        </w:rPr>
        <w:t>PART I</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This Form 10-K contains forward-looking statements within the meaning of Section 27A of the Securities Act of 1933 and Section 21E of the Securities Exchange Act of 1934, including statements regarding, among other items, (i) the Company's business and acquisition strategies, (ii) potential acquisitions by the Company,</w:t>
      </w:r>
    </w:p>
    <w:p>
      <w:pPr>
        <w:spacing w:after="0" w:line="2" w:lineRule="exact"/>
        <w:rPr>
          <w:sz w:val="20"/>
          <w:szCs w:val="20"/>
          <w:color w:val="auto"/>
        </w:rPr>
      </w:pPr>
    </w:p>
    <w:p>
      <w:pPr>
        <w:ind w:right="3319" w:firstLine="8"/>
        <w:spacing w:after="0" w:line="249" w:lineRule="auto"/>
        <w:tabs>
          <w:tab w:leader="none" w:pos="51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financing plans and (iv) industry, demographic and other trends affecting the Company's financial condition or results of operations. These forward-looking statements are based largely on the Company's expectations and are subject to a number of risks and uncertainties, certain of which are beyond the Company's control. Actual results could differ materially from these forward-looking statements as a result of several factors, including general economic conditions, prevailing interest rates, competitive factors and the ability of the Company to continue to implement its acquisition strategy. In light of these uncertainties, there can be no assurance that the forward-looking information contained herein will in fact transpire.</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Watsco, Inc. (the "Registrant" or the "Company") was incorporated in 1956 and is the largest distributor of air conditioning, heating, and refrigeration equipment and related parts and supplies in the United States. The Company's revenue has increased from $80 million in 1989 to $1.2 billion in 1999. The Company's distribution network operates from 315 locations in 30 states. The Company also owns Dunhill Staffing Systems, Inc. ("Dunhill"), a national temporary staffing and permanent employment services business, which represents 5% of the Company's total revenue.</w:t>
      </w:r>
    </w:p>
    <w:p>
      <w:pPr>
        <w:spacing w:after="0" w:line="163" w:lineRule="exact"/>
        <w:rPr>
          <w:sz w:val="20"/>
          <w:szCs w:val="20"/>
          <w:color w:val="auto"/>
        </w:rPr>
      </w:pPr>
    </w:p>
    <w:p>
      <w:pPr>
        <w:ind w:right="3659"/>
        <w:spacing w:after="0" w:line="248" w:lineRule="auto"/>
        <w:rPr>
          <w:sz w:val="20"/>
          <w:szCs w:val="20"/>
          <w:color w:val="auto"/>
        </w:rPr>
      </w:pPr>
      <w:r>
        <w:rPr>
          <w:rFonts w:ascii="Courier New" w:cs="Courier New" w:eastAsia="Courier New" w:hAnsi="Courier New"/>
          <w:sz w:val="14"/>
          <w:szCs w:val="14"/>
          <w:color w:val="auto"/>
        </w:rPr>
        <w:t>The Company's principal executive offices are located at 2665 South Bayshore Drive, Suite 901, Coconut Grove, Florida 33133, and its telephone number is</w:t>
      </w:r>
    </w:p>
    <w:p>
      <w:pPr>
        <w:spacing w:after="0" w:line="1" w:lineRule="exact"/>
        <w:rPr>
          <w:sz w:val="20"/>
          <w:szCs w:val="20"/>
          <w:color w:val="auto"/>
        </w:rPr>
      </w:pPr>
    </w:p>
    <w:p>
      <w:pPr>
        <w:ind w:right="3319" w:firstLine="8"/>
        <w:spacing w:after="0" w:line="251" w:lineRule="auto"/>
        <w:tabs>
          <w:tab w:leader="none" w:pos="513"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714-4100. The Company's corporate website is watsco.com, and e-mail may be sent to the company at mweber@watsco.com.</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RESIDENTIAL CENTRAL AIR CONDITIONING, HEATING AND REFRIGERATION INDUSTRY</w:t>
      </w:r>
    </w:p>
    <w:p>
      <w:pPr>
        <w:spacing w:after="0" w:line="170"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According to the Air Conditioning and Refrigeration Institute ("ARI"), the market for residential central air conditioning, heating and refrigeration equipment and related parts and supplies in the U.S. is approximately $20 billion with unitary equipment shipments having grown at an annual rate of 6.6% since 1990. Residential central air conditioners are manufactured primarily by seven major companies that together account for approximately 90% all units shipped in the U.S each year. These companies are: Carrier Corporation ("Carrier"), a subsidiary of United Technologies Corporation, Goodman Manufacturing Corporation, Rheem Manufacturing Company ("Rheem"), American Standard Companies Inc. ("American Standard"), York International Corporation ("York"), Lennox International, Inc. ("Lennox") and Nordyne Corporation ("Nordyne"), a subsidiary of Nortek Corporation. Except for Lennox, these manufacturers distribute their products primarily through independent distributors who in turn supply the equipment and related parts and supplies to contractors and dealers nationwide that sell to, and install the products for the consumer.</w:t>
      </w:r>
    </w:p>
    <w:p>
      <w:pPr>
        <w:spacing w:after="0" w:line="171"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Residential central air conditioning and heating equipment is sold to both the replacement and the homebuilding (including manufactured housing) markets. The replacement market has increased substantially in size and importance over the past ten years as a result of the aging of the installed base of residential central air conditioners, the introduction of new energy efficient models and the upgrading of existing homes to central air conditioning. According to industry data, over 120 million central air conditioning units and warm air gas furnaces have been installed in the United States in the past 20 years. Many units installed from the mid-1970s to the mid-1980s are reaching the end of their useful lives, thus providing a growing replacement market. The mechanical life of this equipment varies by region due to usage and is estimated to range from 8 to 20 years.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also sells products to the refrigeration market. Such products include condensing units, compressors, evaporators, valves, walk-in coolers and ice machines for industrial and commercial applications. The Company distributes products</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12" w:right="1440" w:bottom="1440" w:gutter="0" w:footer="0" w:header="0"/>
        </w:sectPr>
      </w:pPr>
    </w:p>
    <w:bookmarkStart w:id="3" w:name="page4"/>
    <w:bookmarkEnd w:id="3"/>
    <w:p>
      <w:pPr>
        <w:ind w:right="3479"/>
        <w:spacing w:after="0" w:line="251" w:lineRule="auto"/>
        <w:rPr>
          <w:sz w:val="20"/>
          <w:szCs w:val="20"/>
          <w:color w:val="auto"/>
        </w:rPr>
      </w:pPr>
      <w:r>
        <w:rPr>
          <w:rFonts w:ascii="Courier New" w:cs="Courier New" w:eastAsia="Courier New" w:hAnsi="Courier New"/>
          <w:sz w:val="14"/>
          <w:szCs w:val="14"/>
          <w:color w:val="auto"/>
        </w:rPr>
        <w:t>manufactured by Copeland Compressor Corporation, Tecumseh Products Company and The Manitowoc Company, Inc.</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STRATEGY</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Company's business strategy includes four primary concepts: (i) implement programs to build market share in existing markets, (ii) complete strategic acquisitions to expand in existing markets or to extend the Company's geographic reach into new markets, (iii) leverage the Company's existing infrastructure by obtaining new or expanded territories from the grant of distribution rights by manufacturers and (iv) implement an e-commerce strategy to improve the level and efficiency of service to existing customers and to increase the Company's reach to areas beyond those currently served by its existing network of locations.</w:t>
      </w:r>
    </w:p>
    <w:p>
      <w:pPr>
        <w:spacing w:after="0" w:line="163"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STRATEGY IN EXISTING MARKETS The Company's strategy for growth in existing markets focuses on satisfying the needs of the higher growth, higher margin replacement market, where customers generally demand immediate, convenient and reliable service. In response to this need, the Company's focus is to (i) offer expansive product lines, including all equipment and components necessary to install or repair a central air conditioner, furnace or refrigeration system,</w:t>
      </w:r>
    </w:p>
    <w:p>
      <w:pPr>
        <w:spacing w:after="0" w:line="3" w:lineRule="exact"/>
        <w:rPr>
          <w:sz w:val="20"/>
          <w:szCs w:val="20"/>
          <w:color w:val="auto"/>
        </w:rPr>
      </w:pPr>
    </w:p>
    <w:p>
      <w:pPr>
        <w:ind w:right="3399" w:firstLine="8"/>
        <w:spacing w:after="0" w:line="248" w:lineRule="auto"/>
        <w:tabs>
          <w:tab w:leader="none" w:pos="42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several e-commerce initiatives to further enhance customer service capabilities, (iii) maintain multiple warehouse locations in a single metropolitan market for increased customer convenience, (iv) maintain well-stocked inventories to ensure that customer orders are filled in a timely manner and (v) provide a high degree of technical expertise at the point of sale. The Company believes these concepts provide a competitive advantage over smaller, lesser-capitalized competitors who are unable to commit resources to open additional locations, develop e-commerce business solutions, provide the same variety of products as the Company, maintain the same inventory levels or attract the wide range of expertise that is required to support a diverse product offering. The Company also believes it has a competitive advantage over factory-owned distributors who typically do not maintain inventories of all parts and supplies and whose limited number of warehouse locations make it difficult to meet the time-sensitive demands of the replacement market.</w:t>
      </w:r>
    </w:p>
    <w:p>
      <w:pPr>
        <w:spacing w:after="0" w:line="170" w:lineRule="exact"/>
        <w:rPr>
          <w:sz w:val="20"/>
          <w:szCs w:val="20"/>
          <w:color w:val="auto"/>
        </w:rPr>
      </w:pPr>
    </w:p>
    <w:p>
      <w:pPr>
        <w:jc w:val="both"/>
        <w:ind w:right="3319"/>
        <w:spacing w:after="0" w:line="249" w:lineRule="auto"/>
        <w:rPr>
          <w:sz w:val="20"/>
          <w:szCs w:val="20"/>
          <w:color w:val="auto"/>
        </w:rPr>
      </w:pPr>
      <w:r>
        <w:rPr>
          <w:rFonts w:ascii="Courier New" w:cs="Courier New" w:eastAsia="Courier New" w:hAnsi="Courier New"/>
          <w:sz w:val="14"/>
          <w:szCs w:val="14"/>
          <w:color w:val="auto"/>
        </w:rPr>
        <w:t>The Company also sells to the homebuilding and manufactured housing markets. The Company believes that its reputation for reliable, high quality service and its relationships with contractors, who generally serve both the replacement and new construction markets, allow it to compete effectively in these markets.</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ACQUISITION STRATEGY The Company's acquisition strategy is focused on acquiring businesses that complement the Company's presence in existing markets or establish a presence in new markets. Since 1989, the Company has acquired 41 distributors of air conditioning, heating and refrigeration products, 13 of which operate as primary operating subsidiaries of the Company. The other smaller distributors acquired have been integrated into the Company's primary operating subsidiaries.</w:t>
      </w:r>
    </w:p>
    <w:p>
      <w:pPr>
        <w:spacing w:after="0" w:line="163"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4"/>
          <w:szCs w:val="14"/>
          <w:color w:val="auto"/>
        </w:rPr>
        <w:t>The following is a description of the Company's acquisitions completed in 1999, all of which have been accounted for under the purchase method of accounting:</w:t>
      </w:r>
    </w:p>
    <w:p>
      <w:pPr>
        <w:spacing w:after="0" w:line="161"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NEW ENGLAND ACQUISITIONS In January 1999, the Company completed the acquisition of Heat, Inc., ("Heat") and Homans Associates, Inc. ("Homans"), wholesale distributors of heating and air conditioning products serving the New England market. Heat distributes its products through a single location and Homans serves its markets through 15 locations. These companies had combined revenue of $61 million in fiscal year 1998.</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ATLANTIC AIR In November 1999, the Company completed the acquisition of Atlantic Air, a wholesale distributor and installer of air conditioning and other products to the manufactured housing market. Atlantic Air, operating from three locations, serves over 1,500 customers in Texas, Arizona, New Mexico, Nevada and Oklahoma and has additional rights to distribute products in California and Utah. Atlantic Air had revenue of $40 million in its most recently completed fiscal year.</w:t>
      </w:r>
    </w:p>
    <w:p>
      <w:pPr>
        <w:spacing w:after="0" w:line="327" w:lineRule="exact"/>
        <w:rPr>
          <w:sz w:val="20"/>
          <w:szCs w:val="20"/>
          <w:color w:val="auto"/>
        </w:rPr>
      </w:pPr>
    </w:p>
    <w:p>
      <w:pPr>
        <w:ind w:right="3919"/>
        <w:spacing w:after="0" w:line="250" w:lineRule="auto"/>
        <w:rPr>
          <w:sz w:val="20"/>
          <w:szCs w:val="20"/>
          <w:color w:val="auto"/>
        </w:rPr>
      </w:pPr>
      <w:r>
        <w:rPr>
          <w:rFonts w:ascii="Courier New" w:cs="Courier New" w:eastAsia="Courier New" w:hAnsi="Courier New"/>
          <w:sz w:val="14"/>
          <w:szCs w:val="14"/>
          <w:color w:val="auto"/>
        </w:rPr>
        <w:t>OTHER During 1999, the Company acquired the net assets of three other distributors of air conditioning, heating and refrigeration products with aggregate annualized revenue of $4 million.</w:t>
      </w:r>
    </w:p>
    <w:p>
      <w:pPr>
        <w:spacing w:after="0" w:line="162"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DISTRIBUTION RIGHTS The Company actively seeks new or expanded territories of distribution from the major equipment manufacturers. During 1999 and 1998, five of the leading equipment manufacturers granted the Company rights to distribute their residential and light commercial equipment in key U.S. markets.</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INTERNET E-COMMERCE STRATEGY The Company's e-commerce strategy includes the following initiatives: (i) enabling connectivity by customers to the Company's operating subsidiaries operating software, (ii) creating a web site, ACDoctor.com, which provides homeowners, businesses and HVAC contractors useful information and a variety of services and (iii) developing strategic alliances with leading</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12" w:right="1440" w:bottom="1440" w:gutter="0" w:footer="0" w:header="0"/>
        </w:sectPr>
      </w:pPr>
    </w:p>
    <w:bookmarkStart w:id="4" w:name="page5"/>
    <w:bookmarkEnd w:id="4"/>
    <w:p>
      <w:pPr>
        <w:jc w:val="both"/>
        <w:ind w:right="3659"/>
        <w:spacing w:after="0" w:line="250" w:lineRule="auto"/>
        <w:rPr>
          <w:sz w:val="20"/>
          <w:szCs w:val="20"/>
          <w:color w:val="auto"/>
        </w:rPr>
      </w:pPr>
      <w:r>
        <w:rPr>
          <w:rFonts w:ascii="Courier New" w:cs="Courier New" w:eastAsia="Courier New" w:hAnsi="Courier New"/>
          <w:sz w:val="14"/>
          <w:szCs w:val="14"/>
          <w:color w:val="auto"/>
        </w:rPr>
        <w:t>providers of Internet business-to-business ("B2B") e-commerce solutions. The Company began implementing this e-commerce strategy during the last half of 1999.</w:t>
      </w:r>
    </w:p>
    <w:p>
      <w:pPr>
        <w:spacing w:after="0" w:line="162"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first initiative, being implemented by the Company's subsidiaries, allows customers to access the Company's systems on-line 24 hours a day, 7 days a week to search for desired products, verify inventory availability, obtain pricing, place orders, check order status, schedule pickup or delivery times and make payments.</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second initiative, ACDoctor.com, provides homeowners, businesses and HVAC contractors useful information in areas that broaden the consumer's product knowledge. The site highlights new products and allows homeowners and businesses to locate, select and hire a licensed contractor. ACDoctor.com provides a wide variety of B2B value-added services to contractor customers in an exclusive "members-only" area.</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As part of the third initiative, the Company has created alliances with four leading providers of B2B e-commerce solutions: Ariba, Inc., Commerce One, Inc., Intelisys Electronic Commerce, Inc. and Cephren, Inc. These B2B exchanges will provide the Company's catalog of products and services to a large and growing universe of organizations that are increasingly conducting purchasing transactions on-line. These relationships will also increase the Company's market reach to areas beyond those currently served by its existing locations.</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OPERATING PHILOSOPHY The Company's operating subsidiaries operate in a manner that recognizes the long-term relationships established between the distributors and their customers. The Company preserves the identity of acquired businesses by retaining their management and sales organizations, maintaining the product brand name offerings previously distributed by them, and selectively expanding complementary product offerings. The Company believes this strategy builds on the value of the acquired operations by creating additional sales opportunities.</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maintains a highly specialized functional support staff at its corporate headquarters to support the individual operating subsidiaries' strategies for growth in their representative markets. Such functional support includes specialists in finance, information technology, accounting, human resources, product procurement, logistics, business improvement, treasury and working capital management, tax planning and risk management. The Company targets certain general and administrative expenses for cost savings initiatives that leverage the Company's overall volume and improve operating efficiencies.</w:t>
      </w:r>
    </w:p>
    <w:p>
      <w:pPr>
        <w:spacing w:after="0" w:line="163"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4"/>
          <w:szCs w:val="14"/>
          <w:color w:val="auto"/>
        </w:rPr>
        <w:t>SUMMARY The following table summarizes the number of distribution locations and states represented at December 31 in the years indicated and the Company's consolidated revenue for each year:</w:t>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STATES</w:t>
            </w:r>
          </w:p>
        </w:tc>
        <w:tc>
          <w:tcPr>
            <w:tcW w:w="1760" w:type="dxa"/>
            <w:vAlign w:val="bottom"/>
          </w:tcPr>
          <w:p>
            <w:pPr>
              <w:spacing w:after="0"/>
              <w:rPr>
                <w:sz w:val="13"/>
                <w:szCs w:val="13"/>
                <w:color w:val="auto"/>
              </w:rPr>
            </w:pPr>
          </w:p>
        </w:tc>
      </w:tr>
      <w:tr>
        <w:trPr>
          <w:trHeight w:val="164"/>
        </w:trPr>
        <w:tc>
          <w:tcPr>
            <w:tcW w:w="900" w:type="dxa"/>
            <w:vAlign w:val="bottom"/>
          </w:tcPr>
          <w:p>
            <w:pPr>
              <w:spacing w:after="0"/>
              <w:rPr>
                <w:sz w:val="14"/>
                <w:szCs w:val="14"/>
                <w:color w:val="auto"/>
              </w:rPr>
            </w:pPr>
          </w:p>
        </w:tc>
        <w:tc>
          <w:tcPr>
            <w:tcW w:w="1840" w:type="dxa"/>
            <w:vAlign w:val="bottom"/>
          </w:tcPr>
          <w:p>
            <w:pPr>
              <w:ind w:left="560"/>
              <w:spacing w:after="0"/>
              <w:rPr>
                <w:sz w:val="20"/>
                <w:szCs w:val="20"/>
                <w:color w:val="auto"/>
              </w:rPr>
            </w:pPr>
            <w:r>
              <w:rPr>
                <w:rFonts w:ascii="Courier New" w:cs="Courier New" w:eastAsia="Courier New" w:hAnsi="Courier New"/>
                <w:sz w:val="14"/>
                <w:szCs w:val="14"/>
                <w:color w:val="auto"/>
              </w:rPr>
              <w:t>LOCATIONS</w:t>
            </w:r>
          </w:p>
        </w:tc>
        <w:tc>
          <w:tcPr>
            <w:tcW w:w="16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REPRESENTED</w:t>
            </w:r>
          </w:p>
        </w:tc>
        <w:tc>
          <w:tcPr>
            <w:tcW w:w="1760" w:type="dxa"/>
            <w:vAlign w:val="bottom"/>
          </w:tcPr>
          <w:p>
            <w:pPr>
              <w:jc w:val="center"/>
              <w:ind w:left="209"/>
              <w:spacing w:after="0"/>
              <w:rPr>
                <w:sz w:val="20"/>
                <w:szCs w:val="20"/>
                <w:color w:val="auto"/>
              </w:rPr>
            </w:pPr>
            <w:r>
              <w:rPr>
                <w:rFonts w:ascii="Courier New" w:cs="Courier New" w:eastAsia="Courier New" w:hAnsi="Courier New"/>
                <w:sz w:val="14"/>
                <w:szCs w:val="14"/>
                <w:color w:val="auto"/>
              </w:rPr>
              <w:t>REVENUE</w:t>
            </w:r>
          </w:p>
        </w:tc>
      </w:tr>
      <w:tr>
        <w:trPr>
          <w:trHeight w:val="164"/>
        </w:trPr>
        <w:tc>
          <w:tcPr>
            <w:tcW w:w="900" w:type="dxa"/>
            <w:vAlign w:val="bottom"/>
          </w:tcPr>
          <w:p>
            <w:pPr>
              <w:spacing w:after="0"/>
              <w:rPr>
                <w:sz w:val="14"/>
                <w:szCs w:val="14"/>
                <w:color w:val="auto"/>
              </w:rPr>
            </w:pPr>
          </w:p>
        </w:tc>
        <w:tc>
          <w:tcPr>
            <w:tcW w:w="18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center"/>
              <w:ind w:left="209"/>
              <w:spacing w:after="0"/>
              <w:rPr>
                <w:sz w:val="20"/>
                <w:szCs w:val="20"/>
                <w:color w:val="auto"/>
              </w:rPr>
            </w:pPr>
            <w:r>
              <w:rPr>
                <w:rFonts w:ascii="Courier New" w:cs="Courier New" w:eastAsia="Courier New" w:hAnsi="Courier New"/>
                <w:sz w:val="14"/>
                <w:szCs w:val="14"/>
                <w:color w:val="auto"/>
              </w:rPr>
              <w:t>-------</w:t>
            </w:r>
          </w:p>
        </w:tc>
      </w:tr>
      <w:tr>
        <w:trPr>
          <w:trHeight w:val="164"/>
        </w:trPr>
        <w:tc>
          <w:tcPr>
            <w:tcW w:w="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jc w:val="center"/>
              <w:ind w:left="229"/>
              <w:spacing w:after="0"/>
              <w:rPr>
                <w:sz w:val="20"/>
                <w:szCs w:val="20"/>
                <w:color w:val="auto"/>
              </w:rPr>
            </w:pPr>
            <w:r>
              <w:rPr>
                <w:rFonts w:ascii="Courier New" w:cs="Courier New" w:eastAsia="Courier New" w:hAnsi="Courier New"/>
                <w:sz w:val="14"/>
                <w:szCs w:val="14"/>
                <w:color w:val="auto"/>
              </w:rPr>
              <w:t>($'s in millions)</w:t>
            </w:r>
          </w:p>
        </w:tc>
      </w:tr>
      <w:tr>
        <w:trPr>
          <w:trHeight w:val="164"/>
        </w:trPr>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1990</w:t>
            </w:r>
          </w:p>
        </w:tc>
        <w:tc>
          <w:tcPr>
            <w:tcW w:w="1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30</w:t>
            </w:r>
          </w:p>
        </w:tc>
        <w:tc>
          <w:tcPr>
            <w:tcW w:w="16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4</w:t>
            </w:r>
          </w:p>
        </w:tc>
        <w:tc>
          <w:tcPr>
            <w:tcW w:w="1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104</w:t>
            </w:r>
          </w:p>
        </w:tc>
      </w:tr>
      <w:tr>
        <w:trPr>
          <w:trHeight w:val="164"/>
        </w:trPr>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1991</w:t>
            </w:r>
          </w:p>
        </w:tc>
        <w:tc>
          <w:tcPr>
            <w:tcW w:w="1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31</w:t>
            </w:r>
          </w:p>
        </w:tc>
        <w:tc>
          <w:tcPr>
            <w:tcW w:w="16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5</w:t>
            </w:r>
          </w:p>
        </w:tc>
        <w:tc>
          <w:tcPr>
            <w:tcW w:w="1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157</w:t>
            </w:r>
          </w:p>
        </w:tc>
      </w:tr>
      <w:tr>
        <w:trPr>
          <w:trHeight w:val="164"/>
        </w:trPr>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1992</w:t>
            </w:r>
          </w:p>
        </w:tc>
        <w:tc>
          <w:tcPr>
            <w:tcW w:w="1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32</w:t>
            </w:r>
          </w:p>
        </w:tc>
        <w:tc>
          <w:tcPr>
            <w:tcW w:w="16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5</w:t>
            </w:r>
          </w:p>
        </w:tc>
        <w:tc>
          <w:tcPr>
            <w:tcW w:w="1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172</w:t>
            </w:r>
          </w:p>
        </w:tc>
      </w:tr>
      <w:tr>
        <w:trPr>
          <w:trHeight w:val="164"/>
        </w:trPr>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1993</w:t>
            </w:r>
          </w:p>
        </w:tc>
        <w:tc>
          <w:tcPr>
            <w:tcW w:w="1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47</w:t>
            </w:r>
          </w:p>
        </w:tc>
        <w:tc>
          <w:tcPr>
            <w:tcW w:w="16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6</w:t>
            </w:r>
          </w:p>
        </w:tc>
        <w:tc>
          <w:tcPr>
            <w:tcW w:w="1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209</w:t>
            </w:r>
          </w:p>
        </w:tc>
      </w:tr>
      <w:tr>
        <w:trPr>
          <w:trHeight w:val="164"/>
        </w:trPr>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1994</w:t>
            </w:r>
          </w:p>
        </w:tc>
        <w:tc>
          <w:tcPr>
            <w:tcW w:w="1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50</w:t>
            </w:r>
          </w:p>
        </w:tc>
        <w:tc>
          <w:tcPr>
            <w:tcW w:w="16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7</w:t>
            </w:r>
          </w:p>
        </w:tc>
        <w:tc>
          <w:tcPr>
            <w:tcW w:w="1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260</w:t>
            </w:r>
          </w:p>
        </w:tc>
      </w:tr>
      <w:tr>
        <w:trPr>
          <w:trHeight w:val="164"/>
        </w:trPr>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1995</w:t>
            </w:r>
          </w:p>
        </w:tc>
        <w:tc>
          <w:tcPr>
            <w:tcW w:w="1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69</w:t>
            </w:r>
          </w:p>
        </w:tc>
        <w:tc>
          <w:tcPr>
            <w:tcW w:w="16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10</w:t>
            </w:r>
          </w:p>
        </w:tc>
        <w:tc>
          <w:tcPr>
            <w:tcW w:w="1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308</w:t>
            </w:r>
          </w:p>
        </w:tc>
      </w:tr>
      <w:tr>
        <w:trPr>
          <w:trHeight w:val="164"/>
        </w:trPr>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1996</w:t>
            </w:r>
          </w:p>
        </w:tc>
        <w:tc>
          <w:tcPr>
            <w:tcW w:w="1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101</w:t>
            </w:r>
          </w:p>
        </w:tc>
        <w:tc>
          <w:tcPr>
            <w:tcW w:w="16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15</w:t>
            </w:r>
          </w:p>
        </w:tc>
        <w:tc>
          <w:tcPr>
            <w:tcW w:w="1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400</w:t>
            </w:r>
          </w:p>
        </w:tc>
      </w:tr>
      <w:tr>
        <w:trPr>
          <w:trHeight w:val="164"/>
        </w:trPr>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1997</w:t>
            </w:r>
          </w:p>
        </w:tc>
        <w:tc>
          <w:tcPr>
            <w:tcW w:w="1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268</w:t>
            </w:r>
          </w:p>
        </w:tc>
        <w:tc>
          <w:tcPr>
            <w:tcW w:w="16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22</w:t>
            </w:r>
          </w:p>
        </w:tc>
        <w:tc>
          <w:tcPr>
            <w:tcW w:w="1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680</w:t>
            </w:r>
          </w:p>
        </w:tc>
      </w:tr>
      <w:tr>
        <w:trPr>
          <w:trHeight w:val="164"/>
        </w:trPr>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1998</w:t>
            </w:r>
          </w:p>
        </w:tc>
        <w:tc>
          <w:tcPr>
            <w:tcW w:w="1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308</w:t>
            </w:r>
          </w:p>
        </w:tc>
        <w:tc>
          <w:tcPr>
            <w:tcW w:w="16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23</w:t>
            </w:r>
          </w:p>
        </w:tc>
        <w:tc>
          <w:tcPr>
            <w:tcW w:w="1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1,062</w:t>
            </w:r>
          </w:p>
        </w:tc>
      </w:tr>
      <w:tr>
        <w:trPr>
          <w:trHeight w:val="164"/>
        </w:trPr>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1999</w:t>
            </w:r>
          </w:p>
        </w:tc>
        <w:tc>
          <w:tcPr>
            <w:tcW w:w="1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315</w:t>
            </w:r>
          </w:p>
        </w:tc>
        <w:tc>
          <w:tcPr>
            <w:tcW w:w="16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30</w:t>
            </w:r>
          </w:p>
        </w:tc>
        <w:tc>
          <w:tcPr>
            <w:tcW w:w="1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1,246</w:t>
            </w:r>
          </w:p>
        </w:tc>
      </w:tr>
    </w:tbl>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BUSINESS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OPERATIONS</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PRODUCTS The Company sells an expansive line of products and maintains sufficient inventory levels to meet its customers' immediate needs. The Company seeks to provide every product a contractor would generally require when installing or repairing a central air conditioner, furnace or refrigeration system. The products distributed by the Company in its markets consist of: (i) equipment,</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12" w:right="1440" w:bottom="1440" w:gutter="0" w:footer="0" w:header="0"/>
        </w:sectPr>
      </w:pPr>
    </w:p>
    <w:bookmarkStart w:id="5" w:name="page6"/>
    <w:bookmarkEnd w:id="5"/>
    <w:p>
      <w:pPr>
        <w:ind w:right="3319"/>
        <w:spacing w:after="0" w:line="249" w:lineRule="auto"/>
        <w:rPr>
          <w:sz w:val="20"/>
          <w:szCs w:val="20"/>
          <w:color w:val="auto"/>
        </w:rPr>
      </w:pPr>
      <w:r>
        <w:rPr>
          <w:rFonts w:ascii="Courier New" w:cs="Courier New" w:eastAsia="Courier New" w:hAnsi="Courier New"/>
          <w:sz w:val="14"/>
          <w:szCs w:val="14"/>
          <w:color w:val="auto"/>
        </w:rPr>
        <w:t>including residential central air conditioners ranging from 1-1/2 to 5 tons*, light commercial air conditioners ranging up to 20 tons, gas, electric and oil furnaces ranging from 50,000 to 150,000 BTUs, commercial air conditioning and heating equipment and systems ranging from 20 to 400 tons, and other specialized equipment; (ii) parts, including replacement compressors, evaporator coils, thermostats, motors and other component parts; and (iii) supplies, including insulation material, refrigerants, ductwork, grills, registers, sheet metal, tools, copper tubing, concrete pads, tape, adhesives and other ancillary supplies.</w:t>
      </w:r>
    </w:p>
    <w:p>
      <w:pPr>
        <w:spacing w:after="0" w:line="162"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4"/>
          <w:szCs w:val="14"/>
          <w:color w:val="auto"/>
        </w:rPr>
        <w:t>Sales of air conditioning and heating equipment accounted for approximately 51% of revenue for 1999. Sales of parts and supplies (currently representing over 1,500 different vendors) comprised the remaining revenue.</w:t>
      </w:r>
    </w:p>
    <w:p>
      <w:pPr>
        <w:spacing w:after="0" w:line="162"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DISTRIBUTION AND SALES The Company currently operates from 315 locations, most of which are located in regions that the Company believes have favorable demographic trends. The Company maintains well-stocked inventories at each warehouse location to meet the immediate needs of its customers. This is accomplished by transporting inventory between locations daily and either directly delivering products to customers with the Company's fleet of 764 trucks or making the products available for pick-up at the location nearest to the customer. The Company has over 400 commissioned salespeople with an average of more than 10 years of experience in the air conditioning, heating and refrigeration distribution industry.</w:t>
      </w:r>
    </w:p>
    <w:p>
      <w:pPr>
        <w:spacing w:after="0" w:line="162"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MARKETS The Company's network serves 30 states from 315 locations. The Company's primary markets include (in order of the number of locations in the state): Florida, Texas, Georgia, California, South Carolina, North Carolina, Alabama, Tennessee, Arizona, Missouri, and Massachusetts. The Company also serves Nevada, Kansas, Arkansas, Nebraska, Mississippi, Virginia, Oklahoma, Louisiana, Kentucky, North Dakota, South Dakota, Iowa, New Hampshire, Connecticut, Maine, Maryland, Vermont, Rhode Island and New York. The Company also distributes products on an export basis to portions of Latin America and the Caribbean Basin.</w:t>
      </w:r>
    </w:p>
    <w:p>
      <w:pPr>
        <w:spacing w:after="0" w:line="327"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CUSTOMERS AND CUSTOMER SERVICE The Company sells to contractors and dealers who service the new construction and replacement markets for residential and light commercial central air conditioning, heating and refrigeration systems. The Company currently serves over 35,000 customers, with no single customer in 1999 accounting for more than 1% of consolidated revenue. The Company focuses on providing products where and when the customer needs them, technical support by phone or on site as required and quick and efficient service at the locations. The Company also provides increased customer convenience through one of its e-commerce initiatives, which allows customers to access the Company's systems on-line 24 hours a day, 7 days a week to search for desired products, verify inventory availability, obtain pricing, place orders, check order status, schedule pickup or delivery times and make payments. Management believes that the Company successfully competes with other distributors primarily on the basis of its experienced sales organization, strong service support, high quality reputation and broad product lines.</w:t>
      </w:r>
    </w:p>
    <w:p>
      <w:pPr>
        <w:spacing w:after="0" w:line="171"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KEY EQUIPMENT SUPPLIERS The Company maintains significant relationships with Carrier, Rheem, American Standard, York and Nordyne, each a leading manufacturer of residential central air conditioning and heating equipment in the United States. Each manufacturer has a well-established reputation of producing high-quality, competitively priced products. The Company believes the manufacturers' current product offerings, quality, serviceability and brand-name recognition allow the Company to operate favorably against its competitors. To maintain brand-name recognition, the manufacturers provide national advertising and participate with the Company in cooperative advertising programs and promotional incentives that are targeted to both contractors and homeowners. The Company estimates the replacement market currently accounts for approximately two thirds of industry sales in the United States and expects this percentage to increase as units installed in the 1970s and 1980s wear out and get replaced or updated to more energy-efficient models.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made approximately 43% of its total 1999 purchases from its key equipment suppliers. A significant interruption in the delivery of these products would impair the Company's ability to continue to maintain its current inventory levels and could adversely affect the Company's business. The Company's future results of operations are also materially dependent upon the continued market acceptance of these manufacturers' products and their ability to continue to manufacture products that comply with laws relating to environmental and efficiency standards. However, the Company believes that its sales of other complementary equipment products and continued emphasis to expand the sale of parts and supplies are mitigating factors against such risks.</w:t>
      </w:r>
    </w:p>
    <w:p>
      <w:pPr>
        <w:spacing w:after="0" w:line="162"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DISTRIBUTION AGREEMENTS The Company has distribution agreements with each of its key equipment suppliers, either on an exclusive or non-exclusive basis, for terms generally ranging from one to ten years. Certain of the distribution agreements contain certain</w:t>
      </w:r>
    </w:p>
    <w:p>
      <w:pPr>
        <w:spacing w:after="0" w:line="163"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jc w:val="both"/>
        <w:ind w:right="3479" w:firstLine="427"/>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The cooling capacity of air conditioning units is measured in tons. One ton of cooling capacity is equivalent to 12,000 BTUs and is generally adequate to air condition approximately 500 square feet of residential space.</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12" w:right="1440" w:bottom="1440" w:gutter="0" w:footer="0" w:header="0"/>
        </w:sectPr>
      </w:pPr>
    </w:p>
    <w:bookmarkStart w:id="6" w:name="page7"/>
    <w:bookmarkEnd w:id="6"/>
    <w:p>
      <w:pPr>
        <w:ind w:right="3479"/>
        <w:spacing w:after="0" w:line="249" w:lineRule="auto"/>
        <w:rPr>
          <w:sz w:val="20"/>
          <w:szCs w:val="20"/>
          <w:color w:val="auto"/>
        </w:rPr>
      </w:pPr>
      <w:r>
        <w:rPr>
          <w:rFonts w:ascii="Courier New" w:cs="Courier New" w:eastAsia="Courier New" w:hAnsi="Courier New"/>
          <w:sz w:val="14"/>
          <w:szCs w:val="14"/>
          <w:color w:val="auto"/>
        </w:rPr>
        <w:t>provisions that restrict or limit the sale of competitive products in the markets served. Other than the markets where such restrictions and limitations may apply, the Company may distribute other manufacturers' lines of air conditioning or heating equipment.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STAFFING SERVICE BUSINESS</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Dunhill, founded in 1952, is one of the nation's best known staffing service networks. Through franchised, licensed and company-owned offices in 25 states and Canada, Dunhill provides permanent placement and temporary staffing services to businesses (including the Company's operating subsidiaries), professional and service organizations, government agencies, health care providers and other employers. Dunhill's operations primarily consist of 24 company-owned and 14 licensed temporary staffing offices, as well as 97 franchised permanent placement offices and 8 franchised temporary staffing offices. Dunhill's franchisees operate their businesses autonomously within the framework of Dunhill's policies and standards, and recruit, employ and pay their own employees, including temporary employees. Dunhill's permanent placement division recruits primarily middle-management, sales, technical, and administrative and support personnel for permanent employment in a wide variety of industries and positions.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INFORMATION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All of the Company's businesses operate in highly competitive environments. The Company's distribution business competes with a number of distributors and also with several air conditioning and heating equipment manufacturers that distribute a significant portion of their products through their own distribution organizations in certain markets. Competition within any given geographic market is based upon product availability, customer service, price and quality. Competitive pressures or other factors could cause the Company's products or services to lose market acceptance or result in significant price erosion, all of which would have a material adverse effect on the Company's profitability.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4"/>
          <w:szCs w:val="14"/>
          <w:color w:val="auto"/>
        </w:rPr>
        <w:t>The Company employed over 2,900 persons as of February 29, 2000. The Company believes that its relations with these employees are good.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Sales of residential central air conditioners, heating equipment and parts and supplies distributed by the Company have historically been seasonal. Furthermore, the Company's results of operations can be impacted favorably or unfavorably based on the severity or mildness of weather patterns during summer or winter selling seasons. Demand related to the residential central air conditioning replacement market is highest in the second and third quarters with demand for heating equipment usually highest in the fourth quarter. Demand related to the new construction sectors throughout most of the Sunbelt markets is fairly even during the year except for dependence on housing completions and related weather and economic conditions.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0"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4"/>
          <w:szCs w:val="14"/>
          <w:color w:val="auto"/>
        </w:rPr>
        <w:t>Order backlog is not a material aspect of the Company's business and no material portion of the Company's business is subject to government contracts.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The Company historically operated Watsco Components, Inc. ("Components"), a manufacturing operation, as a distinct business from its distribution operations. In November 1997, the Company's Board of Directors approved a plan for the divestment of Components. In May 1998, the Company sold substantially all the operating assets of Components to International Comfort Products Corporation.</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 November 1997, the Company's Board of Directors approved a plan to dispose of Dunhill. During the period in which Dunhill was reported as a discontinued operation, the Company did not receive any acceptable offers for Dunhill. Therefore, in 1999, the Company decided to retain Dunhill as part of its continuing operations and has accordingly restated net assets, net cash flows and operating results to include Dunhill as a continuing operation.</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777" w:right="1440" w:bottom="1440" w:gutter="0" w:footer="0" w:header="0"/>
        </w:sectPr>
      </w:pPr>
    </w:p>
    <w:bookmarkStart w:id="7" w:name="page8"/>
    <w:bookmarkEnd w:id="7"/>
    <w:p>
      <w:pPr>
        <w:ind w:right="3579"/>
        <w:spacing w:after="0" w:line="251" w:lineRule="auto"/>
        <w:rPr>
          <w:sz w:val="20"/>
          <w:szCs w:val="20"/>
          <w:color w:val="auto"/>
        </w:rPr>
      </w:pPr>
      <w:r>
        <w:rPr>
          <w:rFonts w:ascii="Courier New" w:cs="Courier New" w:eastAsia="Courier New" w:hAnsi="Courier New"/>
          <w:sz w:val="14"/>
          <w:szCs w:val="14"/>
          <w:color w:val="auto"/>
        </w:rPr>
        <w:t>See Notes to Consolidated Financial Statements included in the Company's 1999 Annual Report for further information.</w:t>
      </w:r>
    </w:p>
    <w:p>
      <w:pPr>
        <w:spacing w:after="0" w:line="16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Company operates 315 locations in the U.S. having approximately 5.6 million square feet of space, of which approximately 5.2 million square feet is leased. The Company believes that its facilities are well maintained and adequate to meet its needs.</w:t>
      </w:r>
    </w:p>
    <w:p>
      <w:pPr>
        <w:spacing w:after="0" w:line="16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The Company and its subsidiaries are involved in litigation incidental to the operation of the Company's business. The Company vigorously defends all matters in which the Company or its subsidiaries are named defendants and, for insurable losses, maintains significant levels of insurance to protect against adverse judgments, claims or assessments that may affect the Company. In the opinion of the Company, although the adequacy of existing insurance coverage or the outcome of any legal proceedings cannot be predicted with certainty, the ultimate liability associated with any claims or litigation in which the Company or its subsidiaries are involved will not materially affect the Company's financial condition but could be material to the results of operations in any one accounting period.</w:t>
      </w:r>
    </w:p>
    <w:p>
      <w:pPr>
        <w:spacing w:after="0" w:line="16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0"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4"/>
          <w:szCs w:val="14"/>
          <w:color w:val="auto"/>
        </w:rPr>
        <w:t>No matters were submitted to a vote of the Company's security holders during the fourth quarter of the year ended December 31, 1999.</w:t>
      </w:r>
    </w:p>
    <w:p>
      <w:pPr>
        <w:spacing w:after="0" w:line="16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PART II</w:t>
      </w:r>
    </w:p>
    <w:p>
      <w:pPr>
        <w:spacing w:after="0" w:line="17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THE REGISTRANT'S COMMON EQUITY AND</w:t>
      </w:r>
    </w:p>
    <w:p>
      <w:pPr>
        <w:spacing w:after="0" w:line="6"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RELATED STOCKHOLDER MATTERS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Page 36 of the Company's 1999 Annual Report contains "Information on Common Stock", which identifies the market on which the Registrant's common stocks are being traded and contains the high and low sales prices and dividend information for the years ended December 31, 1999, 1998 and 1997 and is incorporated herein by reference.</w:t>
      </w:r>
    </w:p>
    <w:p>
      <w:pPr>
        <w:spacing w:after="0" w:line="16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0"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4"/>
          <w:szCs w:val="14"/>
          <w:color w:val="auto"/>
        </w:rPr>
        <w:t>Page 9 of the Company's 1999 Annual Report contains "Selected Consolidated Financial Data" and is incorporated herein by reference.</w:t>
      </w:r>
    </w:p>
    <w:p>
      <w:pPr>
        <w:spacing w:after="0" w:line="161" w:lineRule="exact"/>
        <w:rPr>
          <w:sz w:val="20"/>
          <w:szCs w:val="20"/>
          <w:color w:val="auto"/>
        </w:rPr>
      </w:pPr>
    </w:p>
    <w:p>
      <w:pPr>
        <w:ind w:left="940" w:right="5019" w:hanging="939"/>
        <w:spacing w:after="0" w:line="251" w:lineRule="auto"/>
        <w:tabs>
          <w:tab w:leader="none" w:pos="92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1"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4"/>
          <w:szCs w:val="14"/>
          <w:color w:val="auto"/>
        </w:rPr>
        <w:t>Pages 10 through 15 of the Company's 1999 Annual Report contain "Management's Discussion and Analysis of Financial Condition and Results of Operations" and is incorporated herein by reference.</w:t>
      </w:r>
    </w:p>
    <w:p>
      <w:pPr>
        <w:spacing w:after="0" w:line="16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ITEM 7A.</w:t>
        <w:tab/>
        <w:t>QUALITATIVE AND QUANTITATIVE DISCLOSURES ABOUT MARKET RISK</w:t>
      </w:r>
    </w:p>
    <w:p>
      <w:pPr>
        <w:spacing w:after="0" w:line="170" w:lineRule="exact"/>
        <w:rPr>
          <w:sz w:val="20"/>
          <w:szCs w:val="20"/>
          <w:color w:val="auto"/>
        </w:rPr>
      </w:pPr>
    </w:p>
    <w:p>
      <w:pPr>
        <w:ind w:right="3919"/>
        <w:spacing w:after="0" w:line="250" w:lineRule="auto"/>
        <w:rPr>
          <w:sz w:val="20"/>
          <w:szCs w:val="20"/>
          <w:color w:val="auto"/>
        </w:rPr>
      </w:pPr>
      <w:r>
        <w:rPr>
          <w:rFonts w:ascii="Courier New" w:cs="Courier New" w:eastAsia="Courier New" w:hAnsi="Courier New"/>
          <w:sz w:val="14"/>
          <w:szCs w:val="14"/>
          <w:color w:val="auto"/>
        </w:rPr>
        <w:t>Page 13 of the Company's 1999 Annual Report contain "Qualitative and Quantitative Disclosures about Market Risk" and is incorporated herein by reference.</w:t>
      </w:r>
    </w:p>
    <w:p>
      <w:pPr>
        <w:spacing w:after="0" w:line="16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0" w:lineRule="exact"/>
        <w:rPr>
          <w:sz w:val="20"/>
          <w:szCs w:val="20"/>
          <w:color w:val="auto"/>
        </w:rPr>
      </w:pPr>
    </w:p>
    <w:p>
      <w:pPr>
        <w:ind w:right="3579"/>
        <w:spacing w:after="0" w:line="249" w:lineRule="auto"/>
        <w:rPr>
          <w:sz w:val="20"/>
          <w:szCs w:val="20"/>
          <w:color w:val="auto"/>
        </w:rPr>
      </w:pPr>
      <w:r>
        <w:rPr>
          <w:rFonts w:ascii="Courier New" w:cs="Courier New" w:eastAsia="Courier New" w:hAnsi="Courier New"/>
          <w:sz w:val="14"/>
          <w:szCs w:val="14"/>
          <w:color w:val="auto"/>
        </w:rPr>
        <w:t>Pages 16 through 35 of the Company's 1999 Annual Report contain the 1999 and 1998 Consolidated Balance Sheets and other financial statements for the years ended December 31, 1999, 1998 and 1997, together with the report thereon of Arthur Andersen LLP dated February 5, 2000, and are incorporated herein by reference.</w:t>
      </w:r>
    </w:p>
    <w:p>
      <w:pPr>
        <w:spacing w:after="0" w:line="163" w:lineRule="exact"/>
        <w:rPr>
          <w:sz w:val="20"/>
          <w:szCs w:val="20"/>
          <w:color w:val="auto"/>
        </w:rPr>
      </w:pPr>
    </w:p>
    <w:p>
      <w:pPr>
        <w:ind w:left="940" w:right="3819" w:hanging="939"/>
        <w:spacing w:after="0" w:line="251" w:lineRule="auto"/>
        <w:tabs>
          <w:tab w:leader="none" w:pos="92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 FINANCIAL DISCLOSURE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12" w:right="1440" w:bottom="1440" w:gutter="0" w:footer="0" w:header="0"/>
        </w:sectPr>
      </w:pPr>
    </w:p>
    <w:bookmarkStart w:id="8" w:name="page9"/>
    <w:bookmarkEnd w:id="8"/>
    <w:p>
      <w:pPr>
        <w:jc w:val="center"/>
        <w:ind w:right="740"/>
        <w:spacing w:after="0"/>
        <w:rPr>
          <w:sz w:val="20"/>
          <w:szCs w:val="20"/>
          <w:color w:val="auto"/>
        </w:rPr>
      </w:pPr>
      <w:r>
        <w:rPr>
          <w:rFonts w:ascii="Courier New" w:cs="Courier New" w:eastAsia="Courier New" w:hAnsi="Courier New"/>
          <w:sz w:val="14"/>
          <w:szCs w:val="14"/>
          <w:color w:val="auto"/>
        </w:rPr>
        <w:t>PART III</w:t>
      </w:r>
    </w:p>
    <w:p>
      <w:pPr>
        <w:spacing w:after="0" w:line="170" w:lineRule="exact"/>
        <w:rPr>
          <w:sz w:val="20"/>
          <w:szCs w:val="20"/>
          <w:color w:val="auto"/>
        </w:rPr>
      </w:pPr>
    </w:p>
    <w:p>
      <w:pPr>
        <w:ind w:right="740"/>
        <w:spacing w:after="0" w:line="249" w:lineRule="auto"/>
        <w:rPr>
          <w:sz w:val="20"/>
          <w:szCs w:val="20"/>
          <w:color w:val="auto"/>
        </w:rPr>
      </w:pPr>
      <w:r>
        <w:rPr>
          <w:rFonts w:ascii="Courier New" w:cs="Courier New" w:eastAsia="Courier New" w:hAnsi="Courier New"/>
          <w:sz w:val="14"/>
          <w:szCs w:val="14"/>
          <w:color w:val="auto"/>
        </w:rPr>
        <w:t>This part of Form 10-K, which includes Items 10 through 13, is omitted because the Registrant will file definitive proxy material pursuant to Regulation 14A not more than 120 days after the close of the Registrant's year end, which proxy material will include the information required by Items 10 through 13 and is incorporated herein by reference.</w:t>
      </w:r>
    </w:p>
    <w:p>
      <w:pPr>
        <w:spacing w:after="0" w:line="163"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PART IV</w:t>
      </w:r>
    </w:p>
    <w:p>
      <w:pPr>
        <w:spacing w:after="0" w:line="17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0" w:hanging="592"/>
        <w:spacing w:after="0"/>
        <w:tabs>
          <w:tab w:leader="none" w:pos="6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Financial Statement Schedules and Exhibits</w:t>
      </w:r>
    </w:p>
    <w:p>
      <w:pPr>
        <w:spacing w:after="0" w:line="170" w:lineRule="exact"/>
        <w:rPr>
          <w:sz w:val="20"/>
          <w:szCs w:val="20"/>
          <w:color w:val="auto"/>
        </w:rPr>
      </w:pPr>
    </w:p>
    <w:p>
      <w:pPr>
        <w:ind w:left="600" w:right="1160" w:hanging="592"/>
        <w:spacing w:after="0" w:line="251" w:lineRule="auto"/>
        <w:tabs>
          <w:tab w:leader="none" w:pos="6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(incorporated by reference from the 1999 Annual Report of Watsco, Inc.):</w:t>
      </w:r>
    </w:p>
    <w:p>
      <w:pPr>
        <w:spacing w:after="0" w:line="161" w:lineRule="exact"/>
        <w:rPr>
          <w:rFonts w:ascii="Courier New" w:cs="Courier New" w:eastAsia="Courier New" w:hAnsi="Courier New"/>
          <w:sz w:val="14"/>
          <w:szCs w:val="14"/>
          <w:color w:val="auto"/>
        </w:rPr>
      </w:pPr>
    </w:p>
    <w:p>
      <w:pPr>
        <w:jc w:val="right"/>
        <w:ind w:left="1380" w:right="2960" w:hanging="76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Income for the years ended December 31, 1999, 1998 and 1997</w:t>
      </w:r>
    </w:p>
    <w:p>
      <w:pPr>
        <w:ind w:left="600" w:right="1840"/>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Balance Sheets as of December 31, 1999 and 1998 Consolidated Statements of Shareholders' Equity</w:t>
      </w:r>
    </w:p>
    <w:p>
      <w:pPr>
        <w:ind w:left="600" w:right="1760" w:firstLine="76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years ended December 31, 1999, 1998 and 1997 Consolidated Statements of Cash Flows for the</w:t>
      </w:r>
    </w:p>
    <w:p>
      <w:pPr>
        <w:ind w:left="600" w:right="2440" w:firstLine="76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years ended December 31, 1999, 1998 and 1997 Notes to Consolidated Financial Statements</w:t>
      </w:r>
    </w:p>
    <w:p>
      <w:pPr>
        <w:ind w:left="600" w:right="270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Report of Independent Certified Public Accountants Selected Quarterly Financial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0" w:hanging="592"/>
        <w:spacing w:after="0"/>
        <w:tabs>
          <w:tab w:leader="none" w:pos="6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w:t>
      </w:r>
    </w:p>
    <w:p>
      <w:pPr>
        <w:spacing w:after="0" w:line="5" w:lineRule="exact"/>
        <w:rPr>
          <w:rFonts w:ascii="Courier New" w:cs="Courier New" w:eastAsia="Courier New" w:hAnsi="Courier New"/>
          <w:sz w:val="14"/>
          <w:szCs w:val="14"/>
          <w:color w:val="auto"/>
        </w:rPr>
      </w:pPr>
    </w:p>
    <w:p>
      <w:pPr>
        <w:ind w:left="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three years ended December 31, 1999:</w:t>
      </w:r>
    </w:p>
    <w:p>
      <w:pPr>
        <w:spacing w:after="0" w:line="170" w:lineRule="exact"/>
        <w:rPr>
          <w:rFonts w:ascii="Courier New" w:cs="Courier New" w:eastAsia="Courier New" w:hAnsi="Courier New"/>
          <w:sz w:val="14"/>
          <w:szCs w:val="14"/>
          <w:color w:val="auto"/>
        </w:rPr>
      </w:pPr>
    </w:p>
    <w:p>
      <w:pPr>
        <w:ind w:left="600" w:right="1680"/>
        <w:spacing w:after="0" w:line="50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Report of Independent Certified Public Accountants on Schedule Schedule II. Valuation and Qualifying Accounts</w:t>
      </w:r>
    </w:p>
    <w:p>
      <w:pPr>
        <w:spacing w:after="0" w:line="160" w:lineRule="exact"/>
        <w:rPr>
          <w:rFonts w:ascii="Courier New" w:cs="Courier New" w:eastAsia="Courier New" w:hAnsi="Courier New"/>
          <w:sz w:val="14"/>
          <w:szCs w:val="14"/>
          <w:color w:val="auto"/>
        </w:rPr>
      </w:pPr>
    </w:p>
    <w:p>
      <w:pPr>
        <w:ind w:left="600" w:right="900"/>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schedules have been omitted since the required information is not present, or is not present in amounts sufficient to require submission of the schedule, or because the information required is included in the Financial Statements or notes thereto.</w:t>
      </w:r>
    </w:p>
    <w:p>
      <w:pPr>
        <w:spacing w:after="0" w:line="163" w:lineRule="exact"/>
        <w:rPr>
          <w:rFonts w:ascii="Courier New" w:cs="Courier New" w:eastAsia="Courier New" w:hAnsi="Courier New"/>
          <w:sz w:val="14"/>
          <w:szCs w:val="14"/>
          <w:color w:val="auto"/>
        </w:rPr>
      </w:pPr>
    </w:p>
    <w:p>
      <w:pPr>
        <w:ind w:left="600" w:right="740" w:hanging="592"/>
        <w:spacing w:after="0" w:line="250" w:lineRule="auto"/>
        <w:tabs>
          <w:tab w:leader="none" w:pos="6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The following list of exhibits includes exhibits submitted with this Form 10-K as filed with the SEC and those incorporated by reference to other filings.</w:t>
      </w:r>
    </w:p>
    <w:p>
      <w:pPr>
        <w:spacing w:after="0" w:line="161" w:lineRule="exact"/>
        <w:rPr>
          <w:rFonts w:ascii="Courier New" w:cs="Courier New" w:eastAsia="Courier New" w:hAnsi="Courier New"/>
          <w:sz w:val="14"/>
          <w:szCs w:val="14"/>
          <w:color w:val="auto"/>
        </w:rPr>
      </w:pPr>
    </w:p>
    <w:p>
      <w:pPr>
        <w:ind w:left="1200" w:right="740" w:hanging="598"/>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3.1Company's Amended and Restated Articles of Incorporation (filed as Exhibit 3.1 to the Company's Quarterly Report on Form 10-Q for the quarterly period ended June 30, 1995 and incorporated herein by reference).</w:t>
      </w:r>
    </w:p>
    <w:p>
      <w:pPr>
        <w:spacing w:after="0" w:line="163" w:lineRule="exact"/>
        <w:rPr>
          <w:rFonts w:ascii="Courier New" w:cs="Courier New" w:eastAsia="Courier New" w:hAnsi="Courier New"/>
          <w:sz w:val="14"/>
          <w:szCs w:val="14"/>
          <w:color w:val="auto"/>
        </w:rPr>
      </w:pPr>
    </w:p>
    <w:p>
      <w:pPr>
        <w:ind w:left="1200" w:right="900" w:hanging="59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3.2Company's Amended Bylaws (filed as Exhibit 3.2 to the Company's Annual Report on Form 10-K for the fiscal year ended January 31, 1985 and incorporated herein by reference).</w:t>
      </w:r>
    </w:p>
    <w:p>
      <w:pPr>
        <w:spacing w:after="0" w:line="161" w:lineRule="exact"/>
        <w:rPr>
          <w:rFonts w:ascii="Courier New" w:cs="Courier New" w:eastAsia="Courier New" w:hAnsi="Courier New"/>
          <w:sz w:val="14"/>
          <w:szCs w:val="14"/>
          <w:color w:val="auto"/>
        </w:rPr>
      </w:pPr>
    </w:p>
    <w:p>
      <w:pPr>
        <w:ind w:left="1200" w:right="1340" w:hanging="59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4.1Specimen form of Class B Common Stock Certificate (filed as Exhibit 4.6 to the Company's Registration Statement on Form S-1 (No. 33-56646) and incorporated herein by reference).</w:t>
      </w:r>
    </w:p>
    <w:p>
      <w:pPr>
        <w:spacing w:after="0" w:line="161" w:lineRule="exact"/>
        <w:rPr>
          <w:rFonts w:ascii="Courier New" w:cs="Courier New" w:eastAsia="Courier New" w:hAnsi="Courier New"/>
          <w:sz w:val="14"/>
          <w:szCs w:val="14"/>
          <w:color w:val="auto"/>
        </w:rPr>
      </w:pPr>
    </w:p>
    <w:p>
      <w:pPr>
        <w:ind w:left="1200" w:right="740" w:hanging="59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4.2Specimen form of Common Stock Certificate (filed as Exhibit 4.4 to the Company's Annual Report on Form 10-K for the fiscal year ended December 31, 1994 and incorporated herein by reference).</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16</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17</w:t>
      </w:r>
    </w:p>
    <w:p>
      <w:pPr>
        <w:spacing w:after="0" w:line="170"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18</w:t>
      </w:r>
    </w:p>
    <w:p>
      <w:pPr>
        <w:spacing w:after="0" w:line="170"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19</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20-33</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34</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PAGE NO. IN</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FORM 10-K</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S-1</w:t>
      </w:r>
    </w:p>
    <w:p>
      <w:pPr>
        <w:spacing w:after="0" w:line="170"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S-2</w:t>
      </w:r>
    </w:p>
    <w:p>
      <w:pPr>
        <w:sectPr>
          <w:pgSz w:w="11900" w:h="16838" w:orient="portrait"/>
          <w:cols w:equalWidth="0" w:num="2">
            <w:col w:w="7580" w:space="720"/>
            <w:col w:w="1859"/>
          </w:cols>
          <w:pgMar w:left="300" w:top="612" w:right="1440" w:bottom="1440" w:gutter="0" w:footer="0" w:header="0"/>
        </w:sectPr>
      </w:pPr>
    </w:p>
    <w:bookmarkStart w:id="9" w:name="page10"/>
    <w:bookmarkEnd w:id="9"/>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Amended and Restated Revolving Credit and Reimbursement Agreement dated August 8, 1997 by and among Watsco, Inc., NationsBank, N.A. (Agent) and Barnett Bank, N.A., First Union National Bank, SunTrust Bank (Co-Agents), and the Lenders Party Hereto from Time to Time (filed as Exhibit 10.18 to the Company's Quarterly Report on Form 10-Q for the period ended June 30, 1997 and incorporated herein by reference).</w:t>
      </w:r>
    </w:p>
    <w:p>
      <w:pPr>
        <w:spacing w:after="0" w:line="163" w:lineRule="exact"/>
        <w:rPr>
          <w:sz w:val="20"/>
          <w:szCs w:val="20"/>
          <w:color w:val="auto"/>
        </w:rPr>
      </w:pPr>
    </w:p>
    <w:p>
      <w:pPr>
        <w:ind w:left="600" w:right="3319" w:hanging="597"/>
        <w:spacing w:after="0" w:line="250" w:lineRule="auto"/>
        <w:tabs>
          <w:tab w:leader="none" w:pos="58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1983 Executive Stock Option Plan of Watsco, Inc. (filed as Exhibit 10.3 to the Company's Registration Statement on Form S-8 (Registration No. 33-6229) and incorporated herein by reference).</w:t>
      </w:r>
    </w:p>
    <w:p>
      <w:pPr>
        <w:spacing w:after="0" w:line="162"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Key Executive Deferred Compensation Agreement dated January 31,</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1983, between Watsco, Inc. and Albert H. Nahmad (filed as Exhibit</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10.8 to the Company's Registration Statement on Form S-1 (No.</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33-56646) and incorporated herein by reference).</w:t>
      </w:r>
    </w:p>
    <w:p>
      <w:pPr>
        <w:spacing w:after="0" w:line="170" w:lineRule="exact"/>
        <w:rPr>
          <w:sz w:val="20"/>
          <w:szCs w:val="20"/>
          <w:color w:val="auto"/>
        </w:rPr>
      </w:pPr>
    </w:p>
    <w:p>
      <w:pPr>
        <w:ind w:left="600" w:right="3319" w:hanging="597"/>
        <w:spacing w:after="0" w:line="250" w:lineRule="auto"/>
        <w:tabs>
          <w:tab w:leader="none" w:pos="58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Watsco, Inc. Amended and Restated 1991 Stock Option Plan (filed as Exhibit 4.23 to the Company's Registration Statement on Form S-8 (333-82011) and incorporated herein by reference).</w:t>
      </w:r>
    </w:p>
    <w:p>
      <w:pPr>
        <w:spacing w:after="0" w:line="162" w:lineRule="exact"/>
        <w:rPr>
          <w:sz w:val="20"/>
          <w:szCs w:val="20"/>
          <w:color w:val="auto"/>
        </w:rPr>
      </w:pPr>
    </w:p>
    <w:p>
      <w:pPr>
        <w:ind w:left="600" w:right="331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Watsco, Inc. Amended and Restated Profit Sharing Retirement Plan and Trust Agreement dated October 21, 1994 (filed as Exhibit 10.25 to the Company's Annual Report on Form 10-K for the year ended December 31, 1994 and incorporated herein by reference).</w:t>
      </w:r>
    </w:p>
    <w:p>
      <w:pPr>
        <w:spacing w:after="0" w:line="163" w:lineRule="exact"/>
        <w:rPr>
          <w:sz w:val="20"/>
          <w:szCs w:val="20"/>
          <w:color w:val="auto"/>
        </w:rPr>
      </w:pPr>
    </w:p>
    <w:p>
      <w:pPr>
        <w:ind w:left="600" w:right="339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Employment Agreement and Incentive Plan dated January 31, 1996 by and between Watsco, Inc. and Albert H. Nahmad (filed as Exhibit 10.20 to the Company's Quarterly Report on Form 10-Q for the quarterly period ended March 31, 1996 and incorporated herein by reference).</w:t>
      </w:r>
    </w:p>
    <w:p>
      <w:pPr>
        <w:spacing w:after="0" w:line="163" w:lineRule="exact"/>
        <w:rPr>
          <w:sz w:val="20"/>
          <w:szCs w:val="20"/>
          <w:color w:val="auto"/>
        </w:rPr>
      </w:pPr>
    </w:p>
    <w:p>
      <w:pPr>
        <w:ind w:left="600" w:right="3319" w:hanging="597"/>
        <w:spacing w:after="0" w:line="250" w:lineRule="auto"/>
        <w:tabs>
          <w:tab w:leader="none" w:pos="58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Watsco, Inc. 1996 Qualified Employee Stock Purchase Plan (filed as Exhibit 4.3 to the Company's Registration Statement on Form S-8 (333-80341) and incorporated herein by reference).</w:t>
      </w:r>
    </w:p>
    <w:p>
      <w:pPr>
        <w:spacing w:after="0" w:line="162" w:lineRule="exact"/>
        <w:rPr>
          <w:sz w:val="20"/>
          <w:szCs w:val="20"/>
          <w:color w:val="auto"/>
        </w:rPr>
      </w:pPr>
    </w:p>
    <w:p>
      <w:pPr>
        <w:ind w:left="600" w:right="331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Amendment Agreement No. 1 to Amended and Restated Revolving Credit and Reimbursement Agreement dated February 20, 1998 by and among Watsco, Inc., the Lenders hereto and NationsBank, N.A. (filed as Exhibit 10.16 to the Company's Annual Report on Form 10-K for the year ended December 31, 1997 and incorporated herein by reference).</w:t>
      </w:r>
    </w:p>
    <w:p>
      <w:pPr>
        <w:spacing w:after="0" w:line="328" w:lineRule="exact"/>
        <w:rPr>
          <w:sz w:val="20"/>
          <w:szCs w:val="20"/>
          <w:color w:val="auto"/>
        </w:rPr>
      </w:pPr>
    </w:p>
    <w:p>
      <w:pPr>
        <w:ind w:left="600" w:right="331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Exhibit A-1 dated March 11, 1999 to Employment Agreement and Incentive Plan dated January 31, 1996 by and between Watsco, Inc. and Albert H. Nahmad (filed as Exhibit 10.9 to the Company's Quarterly Report on Form 10-Q for the quarterly period ended March 31, 1999 and incorporated herein by reference).</w:t>
      </w:r>
    </w:p>
    <w:p>
      <w:pPr>
        <w:spacing w:after="0" w:line="163" w:lineRule="exact"/>
        <w:rPr>
          <w:sz w:val="20"/>
          <w:szCs w:val="20"/>
          <w:color w:val="auto"/>
        </w:rPr>
      </w:pPr>
    </w:p>
    <w:p>
      <w:pPr>
        <w:ind w:left="600" w:right="3319" w:hanging="597"/>
        <w:spacing w:after="0" w:line="249" w:lineRule="auto"/>
        <w:tabs>
          <w:tab w:leader="none" w:pos="580" w:val="left"/>
        </w:tabs>
        <w:rPr>
          <w:sz w:val="20"/>
          <w:szCs w:val="20"/>
          <w:color w:val="auto"/>
        </w:rPr>
      </w:pPr>
      <w:r>
        <w:rPr>
          <w:rFonts w:ascii="Courier New" w:cs="Courier New" w:eastAsia="Courier New" w:hAnsi="Courier New"/>
          <w:sz w:val="14"/>
          <w:szCs w:val="14"/>
          <w:color w:val="auto"/>
        </w:rPr>
        <w:t>10.10</w:t>
        <w:tab/>
        <w:t>Amendment Agreement No. 2 to Amended and Restated Revolving Credit and Reimbursement Agreement dated June 30, 1999 by and among Watsco, Inc., the Lenders and NationsBank, N.A., as Agent (filed as Exhibit 10.10 to the Company's Quarterly Report on Form 10-Q for the quarterly period ended June 30, 1999 and incorporated herein by reference).</w:t>
      </w:r>
    </w:p>
    <w:p>
      <w:pPr>
        <w:spacing w:after="0" w:line="163" w:lineRule="exact"/>
        <w:rPr>
          <w:sz w:val="20"/>
          <w:szCs w:val="20"/>
          <w:color w:val="auto"/>
        </w:rPr>
      </w:pPr>
    </w:p>
    <w:p>
      <w:pPr>
        <w:ind w:left="600" w:right="3319" w:hanging="597"/>
        <w:spacing w:after="0" w:line="250" w:lineRule="auto"/>
        <w:tabs>
          <w:tab w:leader="none" w:pos="580" w:val="left"/>
        </w:tabs>
        <w:rPr>
          <w:sz w:val="20"/>
          <w:szCs w:val="20"/>
          <w:color w:val="auto"/>
        </w:rPr>
      </w:pPr>
      <w:r>
        <w:rPr>
          <w:rFonts w:ascii="Courier New" w:cs="Courier New" w:eastAsia="Courier New" w:hAnsi="Courier New"/>
          <w:sz w:val="14"/>
          <w:szCs w:val="14"/>
          <w:color w:val="auto"/>
        </w:rPr>
        <w:t>10.11</w:t>
        <w:tab/>
        <w:t>Amendment Agreement No. 3 to Amended and Restated Revolving Credit and Reimbursement Agreement dated December 30, 1999 by and among Watsco, Inc., the Lenders and NationsBank, N.A., as Agent. #</w:t>
      </w:r>
    </w:p>
    <w:p>
      <w:pPr>
        <w:spacing w:after="0" w:line="162" w:lineRule="exact"/>
        <w:rPr>
          <w:sz w:val="20"/>
          <w:szCs w:val="20"/>
          <w:color w:val="auto"/>
        </w:rPr>
      </w:pPr>
    </w:p>
    <w:p>
      <w:pPr>
        <w:ind w:left="600" w:right="3319" w:hanging="597"/>
        <w:spacing w:after="0" w:line="250" w:lineRule="auto"/>
        <w:tabs>
          <w:tab w:leader="none" w:pos="580" w:val="left"/>
        </w:tabs>
        <w:rPr>
          <w:sz w:val="20"/>
          <w:szCs w:val="20"/>
          <w:color w:val="auto"/>
        </w:rPr>
      </w:pPr>
      <w:r>
        <w:rPr>
          <w:rFonts w:ascii="Courier New" w:cs="Courier New" w:eastAsia="Courier New" w:hAnsi="Courier New"/>
          <w:sz w:val="14"/>
          <w:szCs w:val="14"/>
          <w:color w:val="auto"/>
        </w:rPr>
        <w:t>10.12</w:t>
        <w:tab/>
        <w:t>Amendment Agreement No. 4 to Amended and Restated Revolving Credit and Reimbursement Agreement dated March 14, 2000 by and among Watsco, Inc., the Lenders and NationsBank, N.A., as Agent. #</w:t>
      </w:r>
    </w:p>
    <w:p>
      <w:pPr>
        <w:spacing w:after="0" w:line="162" w:lineRule="exact"/>
        <w:rPr>
          <w:sz w:val="20"/>
          <w:szCs w:val="20"/>
          <w:color w:val="auto"/>
        </w:rPr>
      </w:pPr>
    </w:p>
    <w:p>
      <w:pPr>
        <w:jc w:val="both"/>
        <w:ind w:left="600" w:right="3479" w:hanging="597"/>
        <w:spacing w:after="0" w:line="250" w:lineRule="auto"/>
        <w:tabs>
          <w:tab w:leader="none" w:pos="580" w:val="left"/>
        </w:tabs>
        <w:rPr>
          <w:sz w:val="20"/>
          <w:szCs w:val="20"/>
          <w:color w:val="auto"/>
        </w:rPr>
      </w:pPr>
      <w:r>
        <w:rPr>
          <w:rFonts w:ascii="Courier New" w:cs="Courier New" w:eastAsia="Courier New" w:hAnsi="Courier New"/>
          <w:sz w:val="14"/>
          <w:szCs w:val="14"/>
          <w:color w:val="auto"/>
        </w:rPr>
        <w:t>10.13</w:t>
        <w:tab/>
        <w:t>Watsco, Inc. $125,000,000 Private Shelf Agreement as of January 31, 2000 by and among, Watsco, Inc. and the Prudential Insurance Company of America. #</w:t>
      </w:r>
    </w:p>
    <w:p>
      <w:pPr>
        <w:spacing w:after="0" w:line="162" w:lineRule="exact"/>
        <w:rPr>
          <w:sz w:val="20"/>
          <w:szCs w:val="20"/>
          <w:color w:val="auto"/>
        </w:rPr>
      </w:pPr>
    </w:p>
    <w:p>
      <w:pPr>
        <w:ind w:left="600" w:right="3319" w:hanging="594"/>
        <w:spacing w:after="0" w:line="249" w:lineRule="auto"/>
        <w:tabs>
          <w:tab w:leader="none" w:pos="6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Annual Report to Shareholders (with the exception of the information incorporated by reference into Items 1, 5, 6, 7 and 8 of this Form 10-K, the 1999 Annual Report to Shareholders is provided solely for the information of the Securities and Exchange Commission and is not deemed "filed" as part of this Form 10-K). #</w:t>
      </w:r>
    </w:p>
    <w:p>
      <w:pPr>
        <w:spacing w:after="0" w:line="163" w:lineRule="exact"/>
        <w:rPr>
          <w:sz w:val="20"/>
          <w:szCs w:val="20"/>
          <w:color w:val="auto"/>
        </w:rPr>
      </w:pPr>
    </w:p>
    <w:p>
      <w:pPr>
        <w:ind w:left="2740" w:right="6059" w:hanging="2734"/>
        <w:spacing w:after="0" w:line="500" w:lineRule="auto"/>
        <w:tabs>
          <w:tab w:leader="none" w:pos="60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 # 10</w:t>
      </w:r>
    </w:p>
    <w:p>
      <w:pPr>
        <w:sectPr>
          <w:pgSz w:w="11900" w:h="16838" w:orient="portrait"/>
          <w:cols w:equalWidth="0" w:num="1">
            <w:col w:w="9559"/>
          </w:cols>
          <w:pgMar w:left="900" w:top="612" w:right="1440" w:bottom="1440" w:gutter="0" w:footer="0" w:header="0"/>
        </w:sectPr>
      </w:pPr>
    </w:p>
    <w:bookmarkStart w:id="10" w:name="page11"/>
    <w:bookmarkEnd w:id="10"/>
    <w:p>
      <w:pPr>
        <w:ind w:left="1200" w:hanging="594"/>
        <w:spacing w:after="0"/>
        <w:tabs>
          <w:tab w:leader="none" w:pos="12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Certified Public Accountants. #</w:t>
      </w:r>
    </w:p>
    <w:p>
      <w:pPr>
        <w:spacing w:after="0" w:line="170" w:lineRule="exact"/>
        <w:rPr>
          <w:sz w:val="20"/>
          <w:szCs w:val="20"/>
          <w:color w:val="auto"/>
        </w:rPr>
      </w:pPr>
    </w:p>
    <w:p>
      <w:pPr>
        <w:ind w:left="600" w:right="6639" w:firstLine="6"/>
        <w:spacing w:after="0" w:line="497" w:lineRule="auto"/>
        <w:tabs>
          <w:tab w:leader="none" w:pos="1198"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 # Note to exhibits:</w:t>
      </w:r>
    </w:p>
    <w:p>
      <w:pPr>
        <w:ind w:left="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#Submitted electronically herewith.</w:t>
      </w:r>
    </w:p>
    <w:p>
      <w:pPr>
        <w:spacing w:after="0" w:line="170" w:lineRule="exact"/>
        <w:rPr>
          <w:rFonts w:ascii="Courier New" w:cs="Courier New" w:eastAsia="Courier New" w:hAnsi="Courier New"/>
          <w:sz w:val="14"/>
          <w:szCs w:val="14"/>
          <w:color w:val="auto"/>
        </w:rPr>
      </w:pPr>
    </w:p>
    <w:p>
      <w:pPr>
        <w:ind w:left="1120" w:hanging="685"/>
        <w:spacing w:after="0"/>
        <w:tabs>
          <w:tab w:leader="none" w:pos="11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0" w:lineRule="exact"/>
        <w:rPr>
          <w:sz w:val="20"/>
          <w:szCs w:val="20"/>
          <w:color w:val="auto"/>
        </w:rPr>
      </w:pPr>
    </w:p>
    <w:p>
      <w:pPr>
        <w:ind w:right="3739" w:firstLine="1111"/>
        <w:spacing w:after="0" w:line="251" w:lineRule="auto"/>
        <w:rPr>
          <w:sz w:val="20"/>
          <w:szCs w:val="20"/>
          <w:color w:val="auto"/>
        </w:rPr>
      </w:pPr>
      <w:r>
        <w:rPr>
          <w:rFonts w:ascii="Courier New" w:cs="Courier New" w:eastAsia="Courier New" w:hAnsi="Courier New"/>
          <w:sz w:val="14"/>
          <w:szCs w:val="14"/>
          <w:color w:val="auto"/>
        </w:rPr>
        <w:t>No reports on Form 8-K were filed by the Registrant during the fourth quarter of 1999.</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1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SIGNATURES</w:t>
      </w:r>
    </w:p>
    <w:p>
      <w:pPr>
        <w:spacing w:after="0" w:line="170" w:lineRule="exact"/>
        <w:rPr>
          <w:sz w:val="20"/>
          <w:szCs w:val="20"/>
          <w:color w:val="auto"/>
        </w:rPr>
      </w:pPr>
    </w:p>
    <w:p>
      <w:pPr>
        <w:ind w:right="3479"/>
        <w:spacing w:after="0" w:line="250"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WATSCO, INC.</w:t>
      </w:r>
    </w:p>
    <w:p>
      <w:pPr>
        <w:sectPr>
          <w:pgSz w:w="11900" w:h="16838" w:orient="portrait"/>
          <w:cols w:equalWidth="0" w:num="1">
            <w:col w:w="10159"/>
          </w:cols>
          <w:pgMar w:left="300" w:top="612" w:right="1440" w:bottom="1440" w:gutter="0" w:footer="0" w:header="0"/>
        </w:sectPr>
      </w:pPr>
    </w:p>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March 30, 2000</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ALBERT H. NAHMAD</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Albert H. Nahmad, President</w:t>
      </w:r>
    </w:p>
    <w:p>
      <w:pPr>
        <w:spacing w:after="0" w:line="170" w:lineRule="exact"/>
        <w:rPr>
          <w:sz w:val="20"/>
          <w:szCs w:val="20"/>
          <w:color w:val="auto"/>
        </w:rPr>
      </w:pPr>
    </w:p>
    <w:p>
      <w:pPr>
        <w:sectPr>
          <w:pgSz w:w="11900" w:h="16838" w:orient="portrait"/>
          <w:cols w:equalWidth="0" w:num="2">
            <w:col w:w="3040" w:space="720"/>
            <w:col w:w="6399"/>
          </w:cols>
          <w:pgMar w:left="300" w:top="61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March 30,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BARRY S. LOGAN</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Barry S. Logan, Vice President</w:t>
      </w:r>
    </w:p>
    <w:p>
      <w:pPr>
        <w:spacing w:after="0" w:line="170" w:lineRule="exact"/>
        <w:rPr>
          <w:sz w:val="20"/>
          <w:szCs w:val="20"/>
          <w:color w:val="auto"/>
        </w:rPr>
      </w:pPr>
    </w:p>
    <w:p>
      <w:pPr>
        <w:sectPr>
          <w:pgSz w:w="11900" w:h="16838" w:orient="portrait"/>
          <w:cols w:equalWidth="0" w:num="2">
            <w:col w:w="3040" w:space="720"/>
            <w:col w:w="6399"/>
          </w:cols>
          <w:pgMar w:left="300" w:top="612" w:right="1440" w:bottom="1440" w:gutter="0" w:footer="0" w:header="0"/>
          <w:type w:val="continuous"/>
        </w:sectPr>
      </w:pPr>
    </w:p>
    <w:p>
      <w:pPr>
        <w:ind w:right="3319"/>
        <w:spacing w:after="0" w:line="250"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SIGNATURE</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TITLE</w:t>
            </w:r>
          </w:p>
        </w:tc>
        <w:tc>
          <w:tcPr>
            <w:tcW w:w="1660" w:type="dxa"/>
            <w:vAlign w:val="bottom"/>
          </w:tcPr>
          <w:p>
            <w:pPr>
              <w:ind w:left="460"/>
              <w:spacing w:after="0"/>
              <w:rPr>
                <w:sz w:val="20"/>
                <w:szCs w:val="20"/>
                <w:color w:val="auto"/>
              </w:rPr>
            </w:pPr>
            <w:r>
              <w:rPr>
                <w:rFonts w:ascii="Courier New" w:cs="Courier New" w:eastAsia="Courier New" w:hAnsi="Courier New"/>
                <w:sz w:val="14"/>
                <w:szCs w:val="14"/>
                <w:color w:val="auto"/>
              </w:rPr>
              <w:t>DATE</w:t>
            </w: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r>
      <w:tr>
        <w:trPr>
          <w:trHeight w:val="493"/>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ALBERT H. NAHMAD</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Chairman of the Board and</w:t>
            </w:r>
          </w:p>
        </w:tc>
        <w:tc>
          <w:tcPr>
            <w:tcW w:w="1660" w:type="dxa"/>
            <w:vAlign w:val="bottom"/>
          </w:tcPr>
          <w:p>
            <w:pPr>
              <w:ind w:left="460"/>
              <w:spacing w:after="0"/>
              <w:rPr>
                <w:sz w:val="20"/>
                <w:szCs w:val="20"/>
                <w:color w:val="auto"/>
              </w:rPr>
            </w:pPr>
            <w:r>
              <w:rPr>
                <w:rFonts w:ascii="Courier New" w:cs="Courier New" w:eastAsia="Courier New" w:hAnsi="Courier New"/>
                <w:sz w:val="14"/>
                <w:szCs w:val="14"/>
                <w:color w:val="auto"/>
              </w:rPr>
              <w:t>March 30, 2000</w:t>
            </w: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President (principal</w:t>
            </w:r>
          </w:p>
        </w:tc>
        <w:tc>
          <w:tcPr>
            <w:tcW w:w="1660" w:type="dxa"/>
            <w:vAlign w:val="bottom"/>
          </w:tcPr>
          <w:p>
            <w:pPr>
              <w:spacing w:after="0"/>
              <w:rPr>
                <w:sz w:val="14"/>
                <w:szCs w:val="14"/>
                <w:color w:val="auto"/>
              </w:rPr>
            </w:pP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Albert H. Nahmad</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executive officer)</w:t>
            </w:r>
          </w:p>
        </w:tc>
        <w:tc>
          <w:tcPr>
            <w:tcW w:w="1660" w:type="dxa"/>
            <w:vAlign w:val="bottom"/>
          </w:tcPr>
          <w:p>
            <w:pPr>
              <w:spacing w:after="0"/>
              <w:rPr>
                <w:sz w:val="14"/>
                <w:szCs w:val="14"/>
                <w:color w:val="auto"/>
              </w:rPr>
            </w:pPr>
          </w:p>
        </w:tc>
      </w:tr>
      <w:tr>
        <w:trPr>
          <w:trHeight w:val="329"/>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BARRY S. LOGAN</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Vice President and</w:t>
            </w:r>
          </w:p>
        </w:tc>
        <w:tc>
          <w:tcPr>
            <w:tcW w:w="1660" w:type="dxa"/>
            <w:vAlign w:val="bottom"/>
          </w:tcPr>
          <w:p>
            <w:pPr>
              <w:ind w:left="460"/>
              <w:spacing w:after="0"/>
              <w:rPr>
                <w:sz w:val="20"/>
                <w:szCs w:val="20"/>
                <w:color w:val="auto"/>
              </w:rPr>
            </w:pPr>
            <w:r>
              <w:rPr>
                <w:rFonts w:ascii="Courier New" w:cs="Courier New" w:eastAsia="Courier New" w:hAnsi="Courier New"/>
                <w:sz w:val="14"/>
                <w:szCs w:val="14"/>
                <w:color w:val="auto"/>
              </w:rPr>
              <w:t>March 30, 2000</w:t>
            </w: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Secretary (principal</w:t>
            </w:r>
          </w:p>
        </w:tc>
        <w:tc>
          <w:tcPr>
            <w:tcW w:w="1660" w:type="dxa"/>
            <w:vAlign w:val="bottom"/>
          </w:tcPr>
          <w:p>
            <w:pPr>
              <w:spacing w:after="0"/>
              <w:rPr>
                <w:sz w:val="14"/>
                <w:szCs w:val="14"/>
                <w:color w:val="auto"/>
              </w:rPr>
            </w:pP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Barry S. Logan</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accounting officer)</w:t>
            </w:r>
          </w:p>
        </w:tc>
        <w:tc>
          <w:tcPr>
            <w:tcW w:w="1660" w:type="dxa"/>
            <w:vAlign w:val="bottom"/>
          </w:tcPr>
          <w:p>
            <w:pPr>
              <w:spacing w:after="0"/>
              <w:rPr>
                <w:sz w:val="14"/>
                <w:szCs w:val="14"/>
                <w:color w:val="auto"/>
              </w:rPr>
            </w:pPr>
          </w:p>
        </w:tc>
      </w:tr>
      <w:tr>
        <w:trPr>
          <w:trHeight w:val="329"/>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CESAR L. ALVAREZ</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Director</w:t>
            </w:r>
          </w:p>
        </w:tc>
        <w:tc>
          <w:tcPr>
            <w:tcW w:w="1660" w:type="dxa"/>
            <w:vAlign w:val="bottom"/>
          </w:tcPr>
          <w:p>
            <w:pPr>
              <w:ind w:left="460"/>
              <w:spacing w:after="0"/>
              <w:rPr>
                <w:sz w:val="20"/>
                <w:szCs w:val="20"/>
                <w:color w:val="auto"/>
              </w:rPr>
            </w:pPr>
            <w:r>
              <w:rPr>
                <w:rFonts w:ascii="Courier New" w:cs="Courier New" w:eastAsia="Courier New" w:hAnsi="Courier New"/>
                <w:sz w:val="14"/>
                <w:szCs w:val="14"/>
                <w:color w:val="auto"/>
              </w:rPr>
              <w:t>March 30, 2000</w:t>
            </w: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Cesar L. Alvarez</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29"/>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DAVID B. FLEEMAN</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Director</w:t>
            </w:r>
          </w:p>
        </w:tc>
        <w:tc>
          <w:tcPr>
            <w:tcW w:w="1660" w:type="dxa"/>
            <w:vAlign w:val="bottom"/>
          </w:tcPr>
          <w:p>
            <w:pPr>
              <w:ind w:left="460"/>
              <w:spacing w:after="0"/>
              <w:rPr>
                <w:sz w:val="20"/>
                <w:szCs w:val="20"/>
                <w:color w:val="auto"/>
              </w:rPr>
            </w:pPr>
            <w:r>
              <w:rPr>
                <w:rFonts w:ascii="Courier New" w:cs="Courier New" w:eastAsia="Courier New" w:hAnsi="Courier New"/>
                <w:sz w:val="14"/>
                <w:szCs w:val="14"/>
                <w:color w:val="auto"/>
              </w:rPr>
              <w:t>March 30, 2000</w:t>
            </w: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David B. Fleeman</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29"/>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J. IRA HARRIS</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Director</w:t>
            </w:r>
          </w:p>
        </w:tc>
        <w:tc>
          <w:tcPr>
            <w:tcW w:w="1660" w:type="dxa"/>
            <w:vAlign w:val="bottom"/>
          </w:tcPr>
          <w:p>
            <w:pPr>
              <w:ind w:left="460"/>
              <w:spacing w:after="0"/>
              <w:rPr>
                <w:sz w:val="20"/>
                <w:szCs w:val="20"/>
                <w:color w:val="auto"/>
              </w:rPr>
            </w:pPr>
            <w:r>
              <w:rPr>
                <w:rFonts w:ascii="Courier New" w:cs="Courier New" w:eastAsia="Courier New" w:hAnsi="Courier New"/>
                <w:sz w:val="14"/>
                <w:szCs w:val="14"/>
                <w:color w:val="auto"/>
              </w:rPr>
              <w:t>March 30, 2000</w:t>
            </w: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J. Ira Harris</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29"/>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PAUL F. MANLEY</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Director</w:t>
            </w:r>
          </w:p>
        </w:tc>
        <w:tc>
          <w:tcPr>
            <w:tcW w:w="1660" w:type="dxa"/>
            <w:vAlign w:val="bottom"/>
          </w:tcPr>
          <w:p>
            <w:pPr>
              <w:ind w:left="460"/>
              <w:spacing w:after="0"/>
              <w:rPr>
                <w:sz w:val="20"/>
                <w:szCs w:val="20"/>
                <w:color w:val="auto"/>
              </w:rPr>
            </w:pPr>
            <w:r>
              <w:rPr>
                <w:rFonts w:ascii="Courier New" w:cs="Courier New" w:eastAsia="Courier New" w:hAnsi="Courier New"/>
                <w:sz w:val="14"/>
                <w:szCs w:val="14"/>
                <w:color w:val="auto"/>
              </w:rPr>
              <w:t>March 30, 2000</w:t>
            </w: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Paul F. Manley</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29"/>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BOB L. MOSS</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Director</w:t>
            </w:r>
          </w:p>
        </w:tc>
        <w:tc>
          <w:tcPr>
            <w:tcW w:w="1660" w:type="dxa"/>
            <w:vAlign w:val="bottom"/>
          </w:tcPr>
          <w:p>
            <w:pPr>
              <w:ind w:left="460"/>
              <w:spacing w:after="0"/>
              <w:rPr>
                <w:sz w:val="20"/>
                <w:szCs w:val="20"/>
                <w:color w:val="auto"/>
              </w:rPr>
            </w:pPr>
            <w:r>
              <w:rPr>
                <w:rFonts w:ascii="Courier New" w:cs="Courier New" w:eastAsia="Courier New" w:hAnsi="Courier New"/>
                <w:sz w:val="14"/>
                <w:szCs w:val="14"/>
                <w:color w:val="auto"/>
              </w:rPr>
              <w:t>March 30, 2000</w:t>
            </w: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Bob L. Moss</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29"/>
        </w:trPr>
        <w:tc>
          <w:tcPr>
            <w:tcW w:w="2300" w:type="dxa"/>
            <w:vAlign w:val="bottom"/>
          </w:tcPr>
          <w:p>
            <w:pPr>
              <w:ind w:left="80"/>
              <w:spacing w:after="0"/>
              <w:rPr>
                <w:sz w:val="20"/>
                <w:szCs w:val="20"/>
                <w:color w:val="auto"/>
              </w:rPr>
            </w:pPr>
            <w:r>
              <w:rPr>
                <w:rFonts w:ascii="Courier New" w:cs="Courier New" w:eastAsia="Courier New" w:hAnsi="Courier New"/>
                <w:sz w:val="14"/>
                <w:szCs w:val="14"/>
                <w:color w:val="auto"/>
              </w:rPr>
              <w:t>/S/ ROBERTO MOTTA</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Director</w:t>
            </w:r>
          </w:p>
        </w:tc>
        <w:tc>
          <w:tcPr>
            <w:tcW w:w="1660" w:type="dxa"/>
            <w:vAlign w:val="bottom"/>
          </w:tcPr>
          <w:p>
            <w:pPr>
              <w:ind w:left="460"/>
              <w:spacing w:after="0"/>
              <w:rPr>
                <w:sz w:val="20"/>
                <w:szCs w:val="20"/>
                <w:color w:val="auto"/>
              </w:rPr>
            </w:pPr>
            <w:r>
              <w:rPr>
                <w:rFonts w:ascii="Courier New" w:cs="Courier New" w:eastAsia="Courier New" w:hAnsi="Courier New"/>
                <w:sz w:val="14"/>
                <w:szCs w:val="14"/>
                <w:color w:val="auto"/>
              </w:rPr>
              <w:t>March 30, 2000</w:t>
            </w: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Roberto Motta</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29"/>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ALAN H. POTAMKIN</w:t>
            </w:r>
          </w:p>
        </w:tc>
        <w:tc>
          <w:tcPr>
            <w:tcW w:w="3640" w:type="dxa"/>
            <w:vAlign w:val="bottom"/>
          </w:tcPr>
          <w:p>
            <w:pPr>
              <w:ind w:left="1020"/>
              <w:spacing w:after="0"/>
              <w:rPr>
                <w:sz w:val="20"/>
                <w:szCs w:val="20"/>
                <w:color w:val="auto"/>
              </w:rPr>
            </w:pPr>
            <w:r>
              <w:rPr>
                <w:rFonts w:ascii="Courier New" w:cs="Courier New" w:eastAsia="Courier New" w:hAnsi="Courier New"/>
                <w:sz w:val="14"/>
                <w:szCs w:val="14"/>
                <w:color w:val="auto"/>
              </w:rPr>
              <w:t>Director</w:t>
            </w:r>
          </w:p>
        </w:tc>
        <w:tc>
          <w:tcPr>
            <w:tcW w:w="1660" w:type="dxa"/>
            <w:vAlign w:val="bottom"/>
          </w:tcPr>
          <w:p>
            <w:pPr>
              <w:ind w:left="460"/>
              <w:spacing w:after="0"/>
              <w:rPr>
                <w:sz w:val="20"/>
                <w:szCs w:val="20"/>
                <w:color w:val="auto"/>
              </w:rPr>
            </w:pPr>
            <w:r>
              <w:rPr>
                <w:rFonts w:ascii="Courier New" w:cs="Courier New" w:eastAsia="Courier New" w:hAnsi="Courier New"/>
                <w:sz w:val="14"/>
                <w:szCs w:val="14"/>
                <w:color w:val="auto"/>
              </w:rPr>
              <w:t>March 30, 2000</w:t>
            </w: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4"/>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Alan H. Potamkin</w:t>
            </w: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93"/>
        </w:trPr>
        <w:tc>
          <w:tcPr>
            <w:tcW w:w="2300" w:type="dxa"/>
            <w:vAlign w:val="bottom"/>
          </w:tcPr>
          <w:p>
            <w:pPr>
              <w:spacing w:after="0"/>
              <w:rPr>
                <w:sz w:val="24"/>
                <w:szCs w:val="24"/>
                <w:color w:val="auto"/>
              </w:rPr>
            </w:pPr>
          </w:p>
        </w:tc>
        <w:tc>
          <w:tcPr>
            <w:tcW w:w="3640" w:type="dxa"/>
            <w:vAlign w:val="bottom"/>
          </w:tcPr>
          <w:p>
            <w:pPr>
              <w:ind w:left="600"/>
              <w:spacing w:after="0"/>
              <w:rPr>
                <w:sz w:val="20"/>
                <w:szCs w:val="20"/>
                <w:color w:val="auto"/>
              </w:rPr>
            </w:pPr>
            <w:r>
              <w:rPr>
                <w:rFonts w:ascii="Courier New" w:cs="Courier New" w:eastAsia="Courier New" w:hAnsi="Courier New"/>
                <w:sz w:val="14"/>
                <w:szCs w:val="14"/>
                <w:color w:val="auto"/>
              </w:rPr>
              <w:t>12</w:t>
            </w:r>
          </w:p>
        </w:tc>
        <w:tc>
          <w:tcPr>
            <w:tcW w:w="1660" w:type="dxa"/>
            <w:vAlign w:val="bottom"/>
          </w:tcPr>
          <w:p>
            <w:pPr>
              <w:spacing w:after="0"/>
              <w:rPr>
                <w:sz w:val="24"/>
                <w:szCs w:val="24"/>
                <w:color w:val="auto"/>
              </w:rPr>
            </w:pPr>
          </w:p>
        </w:tc>
      </w:tr>
    </w:tbl>
    <w:p>
      <w:pPr>
        <w:sectPr>
          <w:pgSz w:w="11900" w:h="16838" w:orient="portrait"/>
          <w:cols w:equalWidth="0" w:num="1">
            <w:col w:w="10159"/>
          </w:cols>
          <w:pgMar w:left="300" w:top="612" w:right="1440" w:bottom="1440" w:gutter="0" w:footer="0" w:header="0"/>
          <w:type w:val="continuous"/>
        </w:sectPr>
      </w:pPr>
    </w:p>
    <w:bookmarkStart w:id="12" w:name="page13"/>
    <w:bookmarkEnd w:id="12"/>
    <w:p>
      <w:pPr>
        <w:ind w:left="780"/>
        <w:spacing w:after="0"/>
        <w:rPr>
          <w:sz w:val="20"/>
          <w:szCs w:val="20"/>
          <w:color w:val="auto"/>
        </w:rPr>
      </w:pPr>
      <w:r>
        <w:rPr>
          <w:rFonts w:ascii="Courier New" w:cs="Courier New" w:eastAsia="Courier New" w:hAnsi="Courier New"/>
          <w:sz w:val="14"/>
          <w:szCs w:val="14"/>
          <w:color w:val="auto"/>
        </w:rPr>
        <w:t>REPORT OF INDEPENDENT CERTIFIED PUBLIC ACCOUNTANTS ON SCHEDULE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Watsco, Inc.:</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We have audited in accordance with auditing standards generally accepted in the United States, the consolidated financial statements included in Watsco, Inc.'s Annual Report to Shareholders incorporated by reference in this Form 10-K, and have issued our report thereon dated February 5, 2000 (except with respect to the matters discussed in Note 13, as to which the date is February 7, 2000). Our audits were made for the purpose of forming an opinion on those statements taken as a whole. The accompanying Schedule II is the responsibility of the Company's management and is presented for purposes of complying with the Securities and Exchange Commission's rules and is not part of the basic financial statements. This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Miami, Florida,</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February 5, 2000.</w:t>
      </w:r>
    </w:p>
    <w:p>
      <w:pPr>
        <w:spacing w:after="0" w:line="200" w:lineRule="exact"/>
        <w:rPr>
          <w:sz w:val="20"/>
          <w:szCs w:val="20"/>
          <w:color w:val="auto"/>
        </w:rPr>
      </w:pPr>
    </w:p>
    <w:p>
      <w:pPr>
        <w:spacing w:after="0" w:line="29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S-1</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12"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4660" w:type="dxa"/>
            <w:vAlign w:val="bottom"/>
          </w:tcPr>
          <w:p>
            <w:pPr>
              <w:jc w:val="center"/>
              <w:ind w:left="2129"/>
              <w:spacing w:after="0"/>
              <w:rPr>
                <w:sz w:val="20"/>
                <w:szCs w:val="20"/>
                <w:color w:val="auto"/>
              </w:rPr>
            </w:pPr>
            <w:r>
              <w:rPr>
                <w:rFonts w:ascii="Courier New" w:cs="Courier New" w:eastAsia="Courier New" w:hAnsi="Courier New"/>
                <w:sz w:val="14"/>
                <w:szCs w:val="14"/>
                <w:color w:val="auto"/>
              </w:rPr>
              <w:t>WATSCO, INC.</w:t>
            </w:r>
          </w:p>
        </w:tc>
        <w:tc>
          <w:tcPr>
            <w:tcW w:w="1420" w:type="dxa"/>
            <w:vAlign w:val="bottom"/>
          </w:tcPr>
          <w:p>
            <w:pPr>
              <w:spacing w:after="0"/>
              <w:rPr>
                <w:sz w:val="13"/>
                <w:szCs w:val="13"/>
                <w:color w:val="auto"/>
              </w:rPr>
            </w:pPr>
          </w:p>
        </w:tc>
      </w:tr>
      <w:tr>
        <w:trPr>
          <w:trHeight w:val="164"/>
        </w:trPr>
        <w:tc>
          <w:tcPr>
            <w:tcW w:w="608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rPr>
              <w:t>SCHEDULE II-VALUATION AND QUALIFYING ACCOUNTS</w:t>
            </w:r>
          </w:p>
        </w:tc>
      </w:tr>
      <w:tr>
        <w:trPr>
          <w:trHeight w:val="329"/>
        </w:trPr>
        <w:tc>
          <w:tcPr>
            <w:tcW w:w="6080" w:type="dxa"/>
            <w:vAlign w:val="bottom"/>
            <w:gridSpan w:val="2"/>
          </w:tcPr>
          <w:p>
            <w:pPr>
              <w:jc w:val="center"/>
              <w:ind w:left="689"/>
              <w:spacing w:after="0"/>
              <w:rPr>
                <w:sz w:val="20"/>
                <w:szCs w:val="20"/>
                <w:color w:val="auto"/>
              </w:rPr>
            </w:pPr>
            <w:r>
              <w:rPr>
                <w:rFonts w:ascii="Courier New" w:cs="Courier New" w:eastAsia="Courier New" w:hAnsi="Courier New"/>
                <w:sz w:val="14"/>
                <w:szCs w:val="14"/>
                <w:color w:val="auto"/>
              </w:rPr>
              <w:t>For the Years Ended December 31, 1999, 1998 and 1997</w:t>
            </w:r>
          </w:p>
        </w:tc>
      </w:tr>
      <w:tr>
        <w:trPr>
          <w:trHeight w:val="164"/>
        </w:trPr>
        <w:tc>
          <w:tcPr>
            <w:tcW w:w="4660" w:type="dxa"/>
            <w:vAlign w:val="bottom"/>
          </w:tcPr>
          <w:p>
            <w:pPr>
              <w:jc w:val="center"/>
              <w:ind w:left="2109"/>
              <w:spacing w:after="0"/>
              <w:rPr>
                <w:sz w:val="20"/>
                <w:szCs w:val="20"/>
                <w:color w:val="auto"/>
              </w:rPr>
            </w:pPr>
            <w:r>
              <w:rPr>
                <w:rFonts w:ascii="Courier New" w:cs="Courier New" w:eastAsia="Courier New" w:hAnsi="Courier New"/>
                <w:sz w:val="14"/>
                <w:szCs w:val="14"/>
                <w:color w:val="auto"/>
              </w:rPr>
              <w:t>(In thousands)</w:t>
            </w:r>
          </w:p>
        </w:tc>
        <w:tc>
          <w:tcPr>
            <w:tcW w:w="1420" w:type="dxa"/>
            <w:vAlign w:val="bottom"/>
          </w:tcPr>
          <w:p>
            <w:pPr>
              <w:spacing w:after="0"/>
              <w:rPr>
                <w:sz w:val="14"/>
                <w:szCs w:val="14"/>
                <w:color w:val="auto"/>
              </w:rPr>
            </w:pPr>
          </w:p>
        </w:tc>
      </w:tr>
      <w:tr>
        <w:trPr>
          <w:trHeight w:val="329"/>
        </w:trPr>
        <w:tc>
          <w:tcPr>
            <w:tcW w:w="466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1420" w:type="dxa"/>
            <w:vAlign w:val="bottom"/>
          </w:tcPr>
          <w:p>
            <w:pPr>
              <w:spacing w:after="0"/>
              <w:rPr>
                <w:sz w:val="24"/>
                <w:szCs w:val="24"/>
                <w:color w:val="auto"/>
              </w:rPr>
            </w:pPr>
          </w:p>
        </w:tc>
      </w:tr>
      <w:tr>
        <w:trPr>
          <w:trHeight w:val="329"/>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$ 3,059</w:t>
            </w:r>
          </w:p>
        </w:tc>
      </w:tr>
      <w:tr>
        <w:trPr>
          <w:trHeight w:val="164"/>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Allowances from acquisitions</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3,191</w:t>
            </w:r>
          </w:p>
        </w:tc>
      </w:tr>
      <w:tr>
        <w:trPr>
          <w:trHeight w:val="164"/>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Additions charged to costs and expenses</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1,481</w:t>
            </w:r>
          </w:p>
        </w:tc>
      </w:tr>
      <w:tr>
        <w:trPr>
          <w:trHeight w:val="164"/>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Write-offs, net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(1,945)</w:t>
            </w:r>
          </w:p>
        </w:tc>
      </w:tr>
      <w:tr>
        <w:trPr>
          <w:trHeight w:val="164"/>
        </w:trPr>
        <w:tc>
          <w:tcPr>
            <w:tcW w:w="46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5,786</w:t>
            </w:r>
          </w:p>
        </w:tc>
      </w:tr>
      <w:tr>
        <w:trPr>
          <w:trHeight w:val="164"/>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Allowances from acquisitions</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377</w:t>
            </w:r>
          </w:p>
        </w:tc>
      </w:tr>
      <w:tr>
        <w:trPr>
          <w:trHeight w:val="164"/>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Additions charged to costs and expenses</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3,567</w:t>
            </w:r>
          </w:p>
        </w:tc>
      </w:tr>
      <w:tr>
        <w:trPr>
          <w:trHeight w:val="164"/>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Write-offs, net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(3,014)</w:t>
            </w:r>
          </w:p>
        </w:tc>
      </w:tr>
      <w:tr>
        <w:trPr>
          <w:trHeight w:val="164"/>
        </w:trPr>
        <w:tc>
          <w:tcPr>
            <w:tcW w:w="46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6,716</w:t>
            </w:r>
          </w:p>
        </w:tc>
      </w:tr>
      <w:tr>
        <w:trPr>
          <w:trHeight w:val="164"/>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Allowances from acquisitions</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90</w:t>
            </w:r>
          </w:p>
        </w:tc>
      </w:tr>
      <w:tr>
        <w:trPr>
          <w:trHeight w:val="164"/>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Additions charged to costs and expenses</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3,389</w:t>
            </w:r>
          </w:p>
        </w:tc>
      </w:tr>
      <w:tr>
        <w:trPr>
          <w:trHeight w:val="164"/>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Write-offs, net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(4,631)</w:t>
            </w:r>
          </w:p>
        </w:tc>
      </w:tr>
      <w:tr>
        <w:trPr>
          <w:trHeight w:val="164"/>
        </w:trPr>
        <w:tc>
          <w:tcPr>
            <w:tcW w:w="46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$ 5,564</w:t>
            </w:r>
          </w:p>
        </w:tc>
      </w:tr>
      <w:tr>
        <w:trPr>
          <w:trHeight w:val="164"/>
        </w:trPr>
        <w:tc>
          <w:tcPr>
            <w:tcW w:w="46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9"/>
        </w:trPr>
        <w:tc>
          <w:tcPr>
            <w:tcW w:w="4660" w:type="dxa"/>
            <w:vAlign w:val="bottom"/>
          </w:tcPr>
          <w:p>
            <w:pPr>
              <w:ind w:left="3260"/>
              <w:spacing w:after="0"/>
              <w:rPr>
                <w:sz w:val="20"/>
                <w:szCs w:val="20"/>
                <w:color w:val="auto"/>
              </w:rPr>
            </w:pPr>
            <w:r>
              <w:rPr>
                <w:rFonts w:ascii="Courier New" w:cs="Courier New" w:eastAsia="Courier New" w:hAnsi="Courier New"/>
                <w:sz w:val="14"/>
                <w:szCs w:val="14"/>
                <w:color w:val="auto"/>
              </w:rPr>
              <w:t>S-2</w:t>
            </w:r>
          </w:p>
        </w:tc>
        <w:tc>
          <w:tcPr>
            <w:tcW w:w="1420" w:type="dxa"/>
            <w:vAlign w:val="bottom"/>
          </w:tcPr>
          <w:p>
            <w:pPr>
              <w:spacing w:after="0"/>
              <w:rPr>
                <w:sz w:val="24"/>
                <w:szCs w:val="24"/>
                <w:color w:val="auto"/>
              </w:rPr>
            </w:pPr>
          </w:p>
        </w:tc>
      </w:tr>
      <w:tr>
        <w:trPr>
          <w:trHeight w:val="329"/>
        </w:trPr>
        <w:tc>
          <w:tcPr>
            <w:tcW w:w="4660" w:type="dxa"/>
            <w:vAlign w:val="bottom"/>
          </w:tcPr>
          <w:p>
            <w:pPr>
              <w:jc w:val="center"/>
              <w:ind w:left="2129"/>
              <w:spacing w:after="0"/>
              <w:rPr>
                <w:sz w:val="20"/>
                <w:szCs w:val="20"/>
                <w:color w:val="auto"/>
              </w:rPr>
            </w:pPr>
            <w:r>
              <w:rPr>
                <w:rFonts w:ascii="Courier New" w:cs="Courier New" w:eastAsia="Courier New" w:hAnsi="Courier New"/>
                <w:sz w:val="14"/>
                <w:szCs w:val="14"/>
                <w:color w:val="auto"/>
              </w:rPr>
              <w:t>14</w:t>
            </w:r>
          </w:p>
        </w:tc>
        <w:tc>
          <w:tcPr>
            <w:tcW w:w="1420" w:type="dxa"/>
            <w:vAlign w:val="bottom"/>
          </w:tcPr>
          <w:p>
            <w:pPr>
              <w:spacing w:after="0"/>
              <w:rPr>
                <w:sz w:val="24"/>
                <w:szCs w:val="24"/>
                <w:color w:val="auto"/>
              </w:rPr>
            </w:pPr>
          </w:p>
        </w:tc>
      </w:tr>
    </w:tbl>
    <w:p>
      <w:pPr>
        <w:sectPr>
          <w:pgSz w:w="11900" w:h="16838" w:orient="portrait"/>
          <w:cols w:equalWidth="0" w:num="1">
            <w:col w:w="10159"/>
          </w:cols>
          <w:pgMar w:left="300" w:top="612" w:right="1440" w:bottom="1440" w:gutter="0" w:footer="0" w:header="0"/>
        </w:sectPr>
      </w:pPr>
    </w:p>
    <w:bookmarkStart w:id="14" w:name="page15"/>
    <w:bookmarkEnd w:id="14"/>
    <w:p>
      <w:pPr>
        <w:ind w:left="2220"/>
        <w:spacing w:after="0"/>
        <w:rPr>
          <w:sz w:val="20"/>
          <w:szCs w:val="20"/>
          <w:color w:val="auto"/>
        </w:rPr>
      </w:pPr>
      <w:r>
        <w:rPr>
          <w:rFonts w:ascii="Courier New" w:cs="Courier New" w:eastAsia="Courier New" w:hAnsi="Courier New"/>
          <w:sz w:val="14"/>
          <w:szCs w:val="14"/>
          <w:color w:val="auto"/>
        </w:rPr>
        <w:t>WATSCO, INC. AND SUBSIDIARIES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gridSpan w:val="2"/>
          </w:tcPr>
          <w:p>
            <w:pPr>
              <w:ind w:left="1880"/>
              <w:spacing w:after="0"/>
              <w:rPr>
                <w:sz w:val="20"/>
                <w:szCs w:val="20"/>
                <w:color w:val="auto"/>
              </w:rPr>
            </w:pPr>
            <w:r>
              <w:rPr>
                <w:rFonts w:ascii="Courier New" w:cs="Courier New" w:eastAsia="Courier New" w:hAnsi="Courier New"/>
                <w:sz w:val="14"/>
                <w:szCs w:val="14"/>
                <w:color w:val="auto"/>
              </w:rPr>
              <w:t>SELECTED CONSOLIDATED FINANCIAL DATA</w:t>
            </w: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657"/>
        </w:trPr>
        <w:tc>
          <w:tcPr>
            <w:tcW w:w="3680" w:type="dxa"/>
            <w:vAlign w:val="bottom"/>
          </w:tcPr>
          <w:p>
            <w:pPr>
              <w:spacing w:after="0"/>
              <w:rPr>
                <w:sz w:val="20"/>
                <w:szCs w:val="20"/>
                <w:color w:val="auto"/>
              </w:rPr>
            </w:pPr>
            <w:r>
              <w:rPr>
                <w:rFonts w:ascii="Courier New" w:cs="Courier New" w:eastAsia="Courier New" w:hAnsi="Courier New"/>
                <w:sz w:val="14"/>
                <w:szCs w:val="14"/>
                <w:color w:val="auto"/>
              </w:rPr>
              <w:t>YEARS ENDED DECEMBER 31, (1)</w:t>
            </w: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1998</w:t>
            </w: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1996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$1,246,272</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$1,062,265</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$679,931</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$399,970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$308,257</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291,838</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241,924</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152,788</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87,317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66,330</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Earnings before depreciation, amortization,</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3760" w:type="dxa"/>
            <w:vAlign w:val="bottom"/>
          </w:tcPr>
          <w:p>
            <w:pPr>
              <w:ind w:left="260"/>
              <w:spacing w:after="0"/>
              <w:rPr>
                <w:sz w:val="20"/>
                <w:szCs w:val="20"/>
                <w:color w:val="auto"/>
              </w:rPr>
            </w:pPr>
            <w:r>
              <w:rPr>
                <w:rFonts w:ascii="Courier New" w:cs="Courier New" w:eastAsia="Courier New" w:hAnsi="Courier New"/>
                <w:sz w:val="14"/>
                <w:szCs w:val="14"/>
                <w:color w:val="auto"/>
              </w:rPr>
              <w:t>interest, income taxes and minority</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376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70,679</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63,047</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40,090</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25,382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18,649</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Earnings before interest, income taxes,</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3760" w:type="dxa"/>
            <w:vAlign w:val="bottom"/>
          </w:tcPr>
          <w:p>
            <w:pPr>
              <w:ind w:left="260"/>
              <w:spacing w:after="0"/>
              <w:rPr>
                <w:sz w:val="20"/>
                <w:szCs w:val="20"/>
                <w:color w:val="auto"/>
              </w:rPr>
            </w:pPr>
            <w:r>
              <w:rPr>
                <w:rFonts w:ascii="Courier New" w:cs="Courier New" w:eastAsia="Courier New" w:hAnsi="Courier New"/>
                <w:sz w:val="14"/>
                <w:szCs w:val="14"/>
                <w:color w:val="auto"/>
              </w:rPr>
              <w:t>and minority interest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59,439</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54,066</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34,793</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22,586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16,763</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29,481</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26,972</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19,368</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12,045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6,528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20"/>
                <w:szCs w:val="20"/>
                <w:color w:val="auto"/>
              </w:rPr>
            </w:pPr>
            <w:r>
              <w:rPr>
                <w:rFonts w:ascii="Courier New" w:cs="Courier New" w:eastAsia="Courier New" w:hAnsi="Courier New"/>
                <w:sz w:val="14"/>
                <w:szCs w:val="14"/>
                <w:color w:val="auto"/>
              </w:rPr>
              <w:t>SHARE DATA (2)</w:t>
            </w: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3600" w:type="dxa"/>
            <w:vAlign w:val="bottom"/>
          </w:tcPr>
          <w:p>
            <w:pPr>
              <w:ind w:left="260"/>
              <w:spacing w:after="0"/>
              <w:rPr>
                <w:sz w:val="20"/>
                <w:szCs w:val="20"/>
                <w:color w:val="auto"/>
              </w:rPr>
            </w:pPr>
            <w:r>
              <w:rPr>
                <w:rFonts w:ascii="Courier New" w:cs="Courier New" w:eastAsia="Courier New" w:hAnsi="Courier New"/>
                <w:sz w:val="14"/>
                <w:szCs w:val="14"/>
                <w:color w:val="auto"/>
              </w:rPr>
              <w:t>from continuing operations</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$0.99</w:t>
            </w:r>
          </w:p>
        </w:tc>
        <w:tc>
          <w:tcPr>
            <w:tcW w:w="1160" w:type="dxa"/>
            <w:vAlign w:val="bottom"/>
          </w:tcPr>
          <w:p>
            <w:pPr>
              <w:ind w:left="360"/>
              <w:spacing w:after="0"/>
              <w:rPr>
                <w:sz w:val="20"/>
                <w:szCs w:val="20"/>
                <w:color w:val="auto"/>
              </w:rPr>
            </w:pPr>
            <w:r>
              <w:rPr>
                <w:rFonts w:ascii="Courier New" w:cs="Courier New" w:eastAsia="Courier New" w:hAnsi="Courier New"/>
                <w:sz w:val="14"/>
                <w:szCs w:val="14"/>
                <w:color w:val="auto"/>
              </w:rPr>
              <w:t>$0.94</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$0.72</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$0.41</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Cash dividends declared per share:</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360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$0.10</w:t>
            </w:r>
          </w:p>
        </w:tc>
        <w:tc>
          <w:tcPr>
            <w:tcW w:w="1160" w:type="dxa"/>
            <w:vAlign w:val="bottom"/>
          </w:tcPr>
          <w:p>
            <w:pPr>
              <w:ind w:left="360"/>
              <w:spacing w:after="0"/>
              <w:rPr>
                <w:sz w:val="20"/>
                <w:szCs w:val="20"/>
                <w:color w:val="auto"/>
              </w:rPr>
            </w:pPr>
            <w:r>
              <w:rPr>
                <w:rFonts w:ascii="Courier New" w:cs="Courier New" w:eastAsia="Courier New" w:hAnsi="Courier New"/>
                <w:sz w:val="14"/>
                <w:szCs w:val="14"/>
                <w:color w:val="auto"/>
              </w:rPr>
              <w:t>$0.10</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$0.09</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$0.09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$0.09</w:t>
            </w:r>
          </w:p>
        </w:tc>
      </w:tr>
      <w:tr>
        <w:trPr>
          <w:trHeight w:val="164"/>
        </w:trPr>
        <w:tc>
          <w:tcPr>
            <w:tcW w:w="3600" w:type="dxa"/>
            <w:vAlign w:val="bottom"/>
          </w:tcPr>
          <w:p>
            <w:pPr>
              <w:ind w:left="260"/>
              <w:spacing w:after="0"/>
              <w:rPr>
                <w:sz w:val="20"/>
                <w:szCs w:val="20"/>
                <w:color w:val="auto"/>
              </w:rPr>
            </w:pPr>
            <w:r>
              <w:rPr>
                <w:rFonts w:ascii="Courier New" w:cs="Courier New" w:eastAsia="Courier New" w:hAnsi="Courier New"/>
                <w:sz w:val="14"/>
                <w:szCs w:val="14"/>
                <w:color w:val="auto"/>
              </w:rPr>
              <w:t>Class B Common Stock</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0.10</w:t>
            </w:r>
          </w:p>
        </w:tc>
        <w:tc>
          <w:tcPr>
            <w:tcW w:w="1160" w:type="dxa"/>
            <w:vAlign w:val="bottom"/>
          </w:tcPr>
          <w:p>
            <w:pPr>
              <w:ind w:left="440"/>
              <w:spacing w:after="0"/>
              <w:rPr>
                <w:sz w:val="20"/>
                <w:szCs w:val="20"/>
                <w:color w:val="auto"/>
              </w:rPr>
            </w:pPr>
            <w:r>
              <w:rPr>
                <w:rFonts w:ascii="Courier New" w:cs="Courier New" w:eastAsia="Courier New" w:hAnsi="Courier New"/>
                <w:sz w:val="14"/>
                <w:szCs w:val="14"/>
                <w:color w:val="auto"/>
              </w:rPr>
              <w:t>0.10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0.09</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0.09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0.09</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3600" w:type="dxa"/>
            <w:vAlign w:val="bottom"/>
          </w:tcPr>
          <w:p>
            <w:pPr>
              <w:ind w:left="260"/>
              <w:spacing w:after="0"/>
              <w:rPr>
                <w:sz w:val="20"/>
                <w:szCs w:val="20"/>
                <w:color w:val="auto"/>
              </w:rPr>
            </w:pPr>
            <w:r>
              <w:rPr>
                <w:rFonts w:ascii="Courier New" w:cs="Courier New" w:eastAsia="Courier New" w:hAnsi="Courier New"/>
                <w:sz w:val="14"/>
                <w:szCs w:val="14"/>
                <w:color w:val="auto"/>
              </w:rPr>
              <w:t>for diluted earnings per share</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29,741</w:t>
            </w:r>
          </w:p>
        </w:tc>
        <w:tc>
          <w:tcPr>
            <w:tcW w:w="1160" w:type="dxa"/>
            <w:vAlign w:val="bottom"/>
          </w:tcPr>
          <w:p>
            <w:pPr>
              <w:ind w:left="360"/>
              <w:spacing w:after="0"/>
              <w:rPr>
                <w:sz w:val="20"/>
                <w:szCs w:val="20"/>
                <w:color w:val="auto"/>
              </w:rPr>
            </w:pPr>
            <w:r>
              <w:rPr>
                <w:rFonts w:ascii="Courier New" w:cs="Courier New" w:eastAsia="Courier New" w:hAnsi="Courier New"/>
                <w:sz w:val="14"/>
                <w:szCs w:val="14"/>
                <w:color w:val="auto"/>
              </w:rPr>
              <w:t>28,690</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26,780</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21,288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15,684</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Common stock outstanding</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27,907</w:t>
            </w:r>
          </w:p>
        </w:tc>
        <w:tc>
          <w:tcPr>
            <w:tcW w:w="1160" w:type="dxa"/>
            <w:vAlign w:val="bottom"/>
          </w:tcPr>
          <w:p>
            <w:pPr>
              <w:ind w:left="360"/>
              <w:spacing w:after="0"/>
              <w:rPr>
                <w:sz w:val="20"/>
                <w:szCs w:val="20"/>
                <w:color w:val="auto"/>
              </w:rPr>
            </w:pPr>
            <w:r>
              <w:rPr>
                <w:rFonts w:ascii="Courier New" w:cs="Courier New" w:eastAsia="Courier New" w:hAnsi="Courier New"/>
                <w:sz w:val="14"/>
                <w:szCs w:val="14"/>
                <w:color w:val="auto"/>
              </w:rPr>
              <w:t>28,032</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26,144</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21,048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14,135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20"/>
                <w:szCs w:val="20"/>
                <w:color w:val="auto"/>
              </w:rPr>
            </w:pPr>
            <w:r>
              <w:rPr>
                <w:rFonts w:ascii="Courier New" w:cs="Courier New" w:eastAsia="Courier New" w:hAnsi="Courier New"/>
                <w:sz w:val="14"/>
                <w:szCs w:val="14"/>
                <w:color w:val="auto"/>
              </w:rPr>
              <w:t>BALANCE SHEET INFORMATION</w:t>
            </w:r>
          </w:p>
        </w:tc>
        <w:tc>
          <w:tcPr>
            <w:tcW w:w="1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30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$588,906</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$535,323</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$429,070</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$200,297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$144,551</w:t>
            </w:r>
          </w:p>
        </w:tc>
      </w:tr>
      <w:tr>
        <w:trPr>
          <w:trHeight w:val="164"/>
        </w:trPr>
        <w:tc>
          <w:tcPr>
            <w:tcW w:w="3080" w:type="dxa"/>
            <w:vAlign w:val="bottom"/>
          </w:tcPr>
          <w:p>
            <w:pPr>
              <w:spacing w:after="0"/>
              <w:rPr>
                <w:sz w:val="20"/>
                <w:szCs w:val="20"/>
                <w:color w:val="auto"/>
              </w:rPr>
            </w:pPr>
            <w:r>
              <w:rPr>
                <w:rFonts w:ascii="Courier New" w:cs="Courier New" w:eastAsia="Courier New" w:hAnsi="Courier New"/>
                <w:sz w:val="14"/>
                <w:szCs w:val="14"/>
                <w:color w:val="auto"/>
              </w:rPr>
              <w:t>Long-term obligations</w:t>
            </w:r>
          </w:p>
        </w:tc>
        <w:tc>
          <w:tcPr>
            <w:tcW w:w="1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159,415</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172,301</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137,276</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50,424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5,430</w:t>
            </w:r>
          </w:p>
        </w:tc>
      </w:tr>
      <w:tr>
        <w:trPr>
          <w:trHeight w:val="164"/>
        </w:trPr>
        <w:tc>
          <w:tcPr>
            <w:tcW w:w="30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301,716</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274,568</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225,598</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119,929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53,756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left="1200" w:right="3579" w:hanging="594"/>
        <w:spacing w:after="0" w:line="251" w:lineRule="auto"/>
        <w:tabs>
          <w:tab w:leader="none" w:pos="12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HAVE BEEN RESTATED TO INCLUDE DUNHILL STAFFING SYSTEMS, INC. IN CONTINUING OPERATIONS.</w:t>
      </w:r>
    </w:p>
    <w:p>
      <w:pPr>
        <w:spacing w:after="0" w:line="161" w:lineRule="exact"/>
        <w:rPr>
          <w:rFonts w:ascii="Courier New" w:cs="Courier New" w:eastAsia="Courier New" w:hAnsi="Courier New"/>
          <w:sz w:val="14"/>
          <w:szCs w:val="14"/>
          <w:color w:val="auto"/>
        </w:rPr>
      </w:pPr>
    </w:p>
    <w:p>
      <w:pPr>
        <w:ind w:left="1200" w:right="3739" w:hanging="594"/>
        <w:spacing w:after="0" w:line="251" w:lineRule="auto"/>
        <w:tabs>
          <w:tab w:leader="none" w:pos="12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DATA INCLUDES THE EFFECTS OF THREE-FOR-TWO STOCK SPLITS EFFECTED ON AUGUST 14, 1998, JUNE 14, 1996, AND MAY 15, 1995</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12" w:right="1440" w:bottom="1440" w:gutter="0" w:footer="0" w:header="0"/>
        </w:sectPr>
      </w:pPr>
    </w:p>
    <w:bookmarkStart w:id="15" w:name="page16"/>
    <w:bookmarkEnd w:id="15"/>
    <w:p>
      <w:pPr>
        <w:jc w:val="center"/>
        <w:ind w:right="3219"/>
        <w:spacing w:after="0"/>
        <w:rPr>
          <w:sz w:val="20"/>
          <w:szCs w:val="20"/>
          <w:color w:val="auto"/>
        </w:rPr>
      </w:pPr>
      <w:r>
        <w:rPr>
          <w:rFonts w:ascii="Courier New" w:cs="Courier New" w:eastAsia="Courier New" w:hAnsi="Courier New"/>
          <w:sz w:val="14"/>
          <w:szCs w:val="14"/>
          <w:color w:val="auto"/>
        </w:rPr>
        <w:t>WATSCO, INC. AND SUBSIDIARIES</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Watsco, Inc. and its subsidiaries (collectively, the "Company" or "Watsco") is the largest distributor of air conditioning, heating and refrigeration equipment and related parts and supplies in the United States. The Company operates from 315 locations in 30 states.</w:t>
      </w:r>
    </w:p>
    <w:p>
      <w:pPr>
        <w:spacing w:after="0" w:line="163" w:lineRule="exact"/>
        <w:rPr>
          <w:sz w:val="20"/>
          <w:szCs w:val="20"/>
          <w:color w:val="auto"/>
        </w:rPr>
      </w:pPr>
    </w:p>
    <w:p>
      <w:pPr>
        <w:ind w:right="3479"/>
        <w:spacing w:after="0" w:line="250" w:lineRule="auto"/>
        <w:rPr>
          <w:sz w:val="20"/>
          <w:szCs w:val="20"/>
          <w:color w:val="auto"/>
        </w:rPr>
      </w:pPr>
      <w:r>
        <w:rPr>
          <w:rFonts w:ascii="Courier New" w:cs="Courier New" w:eastAsia="Courier New" w:hAnsi="Courier New"/>
          <w:sz w:val="14"/>
          <w:szCs w:val="14"/>
          <w:color w:val="auto"/>
        </w:rPr>
        <w:t>The following table presents the Company's consolidated financial results from continuing operations for the three years ended December 31, 1999, 1998 and 1997, expressed as a percentage of total revenue:</w:t>
      </w:r>
    </w:p>
    <w:p>
      <w:pPr>
        <w:spacing w:after="0" w:line="162" w:lineRule="exact"/>
        <w:rPr>
          <w:sz w:val="20"/>
          <w:szCs w:val="20"/>
          <w:color w:val="auto"/>
        </w:rPr>
      </w:pPr>
    </w:p>
    <w:p>
      <w:pPr>
        <w:ind w:left="3520"/>
        <w:spacing w:after="0"/>
        <w:tabs>
          <w:tab w:leader="none" w:pos="4940" w:val="left"/>
          <w:tab w:leader="none" w:pos="622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20"/>
                <w:szCs w:val="20"/>
                <w:color w:val="auto"/>
              </w:rPr>
            </w:pPr>
            <w:r>
              <w:rPr>
                <w:rFonts w:ascii="Courier New" w:cs="Courier New" w:eastAsia="Courier New" w:hAnsi="Courier New"/>
                <w:sz w:val="14"/>
                <w:szCs w:val="14"/>
                <w:color w:val="auto"/>
              </w:rPr>
              <w:t>Total revenue</w:t>
            </w:r>
          </w:p>
        </w:tc>
        <w:tc>
          <w:tcPr>
            <w:tcW w:w="21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100.0%</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4"/>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1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76.6</w:t>
            </w: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77.2</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23.4</w:t>
            </w: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22.8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r>
      <w:tr>
        <w:trPr>
          <w:trHeight w:val="164"/>
        </w:trPr>
        <w:tc>
          <w:tcPr>
            <w:tcW w:w="292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administrative expenses</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18.6</w:t>
            </w: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17.7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760" w:type="dxa"/>
            <w:vAlign w:val="bottom"/>
          </w:tcPr>
          <w:p>
            <w:pPr>
              <w:jc w:val="center"/>
              <w:ind w:left="309"/>
              <w:spacing w:after="0"/>
              <w:rPr>
                <w:sz w:val="20"/>
                <w:szCs w:val="20"/>
                <w:color w:val="auto"/>
              </w:rPr>
            </w:pPr>
            <w:r>
              <w:rPr>
                <w:rFonts w:ascii="Courier New" w:cs="Courier New" w:eastAsia="Courier New" w:hAnsi="Courier New"/>
                <w:sz w:val="14"/>
                <w:szCs w:val="14"/>
                <w:color w:val="auto"/>
              </w:rPr>
              <w:t>4.8</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5.1</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w:t>
            </w:r>
          </w:p>
        </w:tc>
      </w:tr>
      <w:tr>
        <w:trPr>
          <w:trHeight w:val="164"/>
        </w:trPr>
        <w:tc>
          <w:tcPr>
            <w:tcW w:w="2740" w:type="dxa"/>
            <w:vAlign w:val="bottom"/>
          </w:tcPr>
          <w:p>
            <w:pPr>
              <w:spacing w:after="0"/>
              <w:rPr>
                <w:sz w:val="20"/>
                <w:szCs w:val="20"/>
                <w:color w:val="auto"/>
              </w:rPr>
            </w:pPr>
            <w:r>
              <w:rPr>
                <w:rFonts w:ascii="Courier New" w:cs="Courier New" w:eastAsia="Courier New" w:hAnsi="Courier New"/>
                <w:sz w:val="14"/>
                <w:szCs w:val="14"/>
                <w:color w:val="auto"/>
              </w:rPr>
              <w:t>Investment income, net</w:t>
            </w:r>
          </w:p>
        </w:tc>
        <w:tc>
          <w:tcPr>
            <w:tcW w:w="1760" w:type="dxa"/>
            <w:vAlign w:val="bottom"/>
          </w:tcPr>
          <w:p>
            <w:pPr>
              <w:jc w:val="center"/>
              <w:ind w:left="3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0.2</w:t>
            </w:r>
          </w:p>
        </w:tc>
      </w:tr>
      <w:tr>
        <w:trPr>
          <w:trHeight w:val="164"/>
        </w:trPr>
        <w:tc>
          <w:tcPr>
            <w:tcW w:w="27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760" w:type="dxa"/>
            <w:vAlign w:val="bottom"/>
          </w:tcPr>
          <w:p>
            <w:pPr>
              <w:jc w:val="center"/>
              <w:ind w:left="309"/>
              <w:spacing w:after="0"/>
              <w:rPr>
                <w:sz w:val="20"/>
                <w:szCs w:val="20"/>
                <w:color w:val="auto"/>
              </w:rPr>
            </w:pPr>
            <w:r>
              <w:rPr>
                <w:rFonts w:ascii="Courier New" w:cs="Courier New" w:eastAsia="Courier New" w:hAnsi="Courier New"/>
                <w:sz w:val="14"/>
                <w:szCs w:val="14"/>
                <w:color w:val="auto"/>
                <w:w w:val="99"/>
              </w:rPr>
              <w:t>(1.0)</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(1.1)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4"/>
        </w:trPr>
        <w:tc>
          <w:tcPr>
            <w:tcW w:w="274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760" w:type="dxa"/>
            <w:vAlign w:val="bottom"/>
          </w:tcPr>
          <w:p>
            <w:pPr>
              <w:jc w:val="center"/>
              <w:ind w:left="309"/>
              <w:spacing w:after="0"/>
              <w:rPr>
                <w:sz w:val="20"/>
                <w:szCs w:val="20"/>
                <w:color w:val="auto"/>
              </w:rPr>
            </w:pPr>
            <w:r>
              <w:rPr>
                <w:rFonts w:ascii="Courier New" w:cs="Courier New" w:eastAsia="Courier New" w:hAnsi="Courier New"/>
                <w:sz w:val="14"/>
                <w:szCs w:val="14"/>
                <w:color w:val="auto"/>
                <w:w w:val="99"/>
              </w:rPr>
              <w:t>(1.4)</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2.4%</w:t>
            </w: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following narratives include the results of operations acquired during 1999, 1998 and 1997. The acquisitions were accounted for under the purchase method of accounting and, accordingly, their results of operations have been included in the consolidated results of the Company beginning on their respective dates of acquisition. Data presented in the following narratives referring to "same-store basis" exclude the effects of operations acquired or locations opened and closed during the prior twelve months. Amounts in 1998 and 1997 have been restated to include Dunhill Staffing Systems, Inc. in continuing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YEAR ENDED DECEMBER 31, 1999 WITH YEAR ENDED DECEMBER 31, 1998</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Revenue in 1999 increased $184.0 million, or 17%, over 1998. On a same-store basis, revenue increased $23.3 million, or 2%. The Company's revenue growth rate on a same-store basis for 1999 was less than historical growth rates, primarily due to milder weather in certain of the Company's large markets which resulted in lower demand for replacement air conditioning. The Company's revenue was also impacted by lower sales to the manufactured housing market.</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Gross profit in 1999 increased $49.9 million, or 21%, over 1998, primarily as a result of the aforementioned revenue increases. Gross profit margin increased to 23.4% in 1999 from 22.8% in 1998, primarily as a result of the gross margin contribution of companies acquired that operate at higher margins than the Company's historical gross margins. On a same-store basis, gross profit increased $7.7 million, or 3%, slightly higher than the same-store revenue increase. Same-store gross profit margin increased to 23.0% in 1999 from 22.8% in 1998 due to improved pricing strategies and cost reductions obtained from consolidated vendor programs.</w:t>
      </w:r>
    </w:p>
    <w:p>
      <w:pPr>
        <w:spacing w:after="0" w:line="162"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Selling, general and administrative expenses in 1999 increased $44.5 million, or 24%, over 1998, due to added selling and delivery costs associated with the aforementioned revenue increase. Selling, general and administrative expenses as a percent of revenue increased to 18.6% in 1999 from 17.7% in 1998, primarily due to the higher selling and delivery costs of acquired companies. On a same-store basis, selling, general and administrative expenses increased $11.1 million, or 6%, and selling, general and administrative expenses as a percent of revenue increased to 18.3% in 1999 from 17.7% in 1998. Such increase was primarily due to the inability to leverage selling, general and administrative expenses against lower than anticipated sales volumes.</w:t>
      </w:r>
    </w:p>
    <w:p>
      <w:pPr>
        <w:spacing w:after="0" w:line="162"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4"/>
          <w:szCs w:val="14"/>
          <w:color w:val="auto"/>
        </w:rPr>
        <w:t>Interest expense in 1999 increased $1.5 million, or 13%, from 1998 primarily due to higher average borrowings.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effective tax rate was 37.0% in 1999 and 1998.</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1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COMPARISON OF YEAR ENDED DECEMBER 31, 1998 WITH YEAR ENDED DECEMBER 31, 1997</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Revenue in 1998 increased $382.3 million, or 56%, over 1997. On a same-store basis, revenue increased $76.0 million, or 11%. Such increase was primarily due to additional sales generated from expanded product lines of HVAC equipment, parts, and supplies in existing locations, market share gains and favorable industry conditions.</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Gross profit in 1998 increased $89.1 million, or 58%, over 1997 primarily as a result of the aforementioned revenue increases. Gross profit margin increased to 22.8% in 1998 from 22.5% in 1997. On a same-store basis, gross profit increased $16.5 million, or 11%, and gross profit margin decreased to 22.4% in 1998 from 22.5% in 1997.</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Selling, general and administrative expenses in 1998 increased $69.9 million, or 59%, over 1997. Selling, general and administrative expenses as a percent of revenue increased to 17.7% in 1998 from 17.4% in 1997, primarily due to the higher cost structures of acquired companies and start-up costs related to the opening of new distribution locations. On a same-store basis, selling, general and administrative expenses increased $11.2 million, or 9%, primarily as a result of the aforementioned revenue increases. On a same-store basis, selling, general and administrative expenses as a percent of revenue decreased to 17.1% in 1998 from 17.3% in 1997.</w:t>
      </w:r>
    </w:p>
    <w:p>
      <w:pPr>
        <w:spacing w:after="0" w:line="162" w:lineRule="exact"/>
        <w:rPr>
          <w:sz w:val="20"/>
          <w:szCs w:val="20"/>
          <w:color w:val="auto"/>
        </w:rPr>
      </w:pPr>
    </w:p>
    <w:p>
      <w:pPr>
        <w:ind w:right="3579"/>
        <w:spacing w:after="0" w:line="251" w:lineRule="auto"/>
        <w:rPr>
          <w:sz w:val="20"/>
          <w:szCs w:val="20"/>
          <w:color w:val="auto"/>
        </w:rPr>
      </w:pPr>
      <w:r>
        <w:rPr>
          <w:rFonts w:ascii="Courier New" w:cs="Courier New" w:eastAsia="Courier New" w:hAnsi="Courier New"/>
          <w:sz w:val="14"/>
          <w:szCs w:val="14"/>
          <w:color w:val="auto"/>
        </w:rPr>
        <w:t>Interest expense in 1998 increased $6.6 million, or 137%, from 1997 primarily due to higher average borrowings used to finance business acquisitions.</w:t>
      </w:r>
    </w:p>
    <w:p>
      <w:pPr>
        <w:spacing w:after="0" w:line="161"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4"/>
          <w:szCs w:val="14"/>
          <w:color w:val="auto"/>
        </w:rPr>
        <w:t>The effective tax rate decreased to 37.0% in 1998 compared to 38.5% in 1997. The decrease was primarily due to the implementation of certain tax planning strategies.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 November 1997, the Company's Board of Directors approved a plan to divest of its manufacturing operation, Watsco Components, Inc. ("Components"). In May 1998, the Company sold the operating assets of Components at a loss of $981, net of income taxes of $576.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The Company maintains a bank-syndicated revolving credit agreement that provides for borrowings of up to $315 million, expiring on August 8, 2002. Borrowings under the unsecured agreement are used to fund seasonal working capital needs and for other general corporate purposes, including acquisitions. Borrowings under the agreement, which totaled $155 million at December 31, 1999, bear interest at primarily London Interbank Offered Rate ("LIBOR") based rates plus a spread that is dependent upon the Company's financial performance (LIBOR plus</w:t>
      </w:r>
    </w:p>
    <w:p>
      <w:pPr>
        <w:spacing w:after="0" w:line="3" w:lineRule="exact"/>
        <w:rPr>
          <w:sz w:val="20"/>
          <w:szCs w:val="20"/>
          <w:color w:val="auto"/>
        </w:rPr>
      </w:pPr>
    </w:p>
    <w:p>
      <w:pPr>
        <w:ind w:right="3479" w:firstLine="85"/>
        <w:spacing w:after="0" w:line="249" w:lineRule="auto"/>
        <w:rPr>
          <w:sz w:val="20"/>
          <w:szCs w:val="20"/>
          <w:color w:val="auto"/>
        </w:rPr>
      </w:pPr>
      <w:r>
        <w:rPr>
          <w:rFonts w:ascii="Courier New" w:cs="Courier New" w:eastAsia="Courier New" w:hAnsi="Courier New"/>
          <w:sz w:val="14"/>
          <w:szCs w:val="14"/>
          <w:color w:val="auto"/>
        </w:rPr>
        <w:t>.5% at December 31, 1999). The revolving credit agreement contains customary affirmative and negative covenants including certain financial covenants with respect to the Company's consolidated net worth, interest and debt coverage ratios and limits capital expenditures and dividends in addition to other restrictions. The Company was in compliance with all covenants at December 31, 1999.</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At December 31, 1999, the Company had various interest rate swap agreements to manage its net exposure to interest rate changes related to a portion of the borrowings under the revolving credit agreement. The interest rate swap agreements effectively convert a portion of the Company's LIBOR-based variable rate borrowings into fixed rate borrowings. The Company continuously monitors developments in the capital markets and only enters into swap transactions with established counterparties having investment grade ratings. See Note 10 "Financial Instruments" in the Notes to Consolidated Financial Statements for further information.</w:t>
      </w:r>
    </w:p>
    <w:p>
      <w:pPr>
        <w:spacing w:after="0" w:line="162"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In September 1999, the Company's Board of Directors authorized the repurchase, at management's discretion, of up to 1.5 million shares of the Company's stock in the open market or via private transactions. As of December 31, 1999, the Company had purchased 1.3 million shares at a cost of $14.3 million. An additional repurchase of 1.5 million shares of the Company's stock was authorized by the Board of Directors on February 7, 2000.</w:t>
      </w:r>
    </w:p>
    <w:p>
      <w:pPr>
        <w:spacing w:after="0" w:line="163" w:lineRule="exact"/>
        <w:rPr>
          <w:sz w:val="20"/>
          <w:szCs w:val="20"/>
          <w:color w:val="auto"/>
        </w:rPr>
      </w:pPr>
    </w:p>
    <w:p>
      <w:pPr>
        <w:jc w:val="both"/>
        <w:ind w:right="3659"/>
        <w:spacing w:after="0" w:line="250" w:lineRule="auto"/>
        <w:rPr>
          <w:sz w:val="20"/>
          <w:szCs w:val="20"/>
          <w:color w:val="auto"/>
        </w:rPr>
      </w:pPr>
      <w:r>
        <w:rPr>
          <w:rFonts w:ascii="Courier New" w:cs="Courier New" w:eastAsia="Courier New" w:hAnsi="Courier New"/>
          <w:sz w:val="14"/>
          <w:szCs w:val="14"/>
          <w:color w:val="auto"/>
        </w:rPr>
        <w:t>Working capital increased to $292.3 million at December 31, 1999 from $284.4 million at December 31, 1998. This increase was primarily due to additional working capital contributed by current year acquisitions.</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12" w:right="1440" w:bottom="1440" w:gutter="0" w:footer="0" w:header="0"/>
        </w:sectPr>
      </w:pPr>
    </w:p>
    <w:bookmarkStart w:id="17" w:name="page18"/>
    <w:bookmarkEnd w:id="17"/>
    <w:p>
      <w:pPr>
        <w:ind w:right="3399"/>
        <w:spacing w:after="0" w:line="249" w:lineRule="auto"/>
        <w:rPr>
          <w:sz w:val="20"/>
          <w:szCs w:val="20"/>
          <w:color w:val="auto"/>
        </w:rPr>
      </w:pPr>
      <w:r>
        <w:rPr>
          <w:rFonts w:ascii="Courier New" w:cs="Courier New" w:eastAsia="Courier New" w:hAnsi="Courier New"/>
          <w:sz w:val="14"/>
          <w:szCs w:val="14"/>
          <w:color w:val="auto"/>
        </w:rPr>
        <w:t>Net cash provided by operating activities was $41.9 million in 1999 compared to $8.6 million in 1998, an increase of $33.3 million. Such increase was primarily due to decreased use of cash for operating assets and liabilities and an increase in income from continuing operations in 1999. Net cash provided by operating activities was $8.6 million in 1998 compared to net cash used in operating activities of $18.8 million in 1997, an increase of $27.4 million primarily due to decreased use of cash for operating assets and liabilities and an increase in income from continuing operations in 1998.</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Net cash used in investing activities decreased to $11.9 million in 1999 from $36.3 million in 1998 primarily due to proceeds of $17.6 million from the sale of marketable equity securities. Net cash used in investing activities decreased to $36.3 million in 1998 from $127.9 million in 1997, primarily due to the Company's acquisition of 25 locations in 1998 as compared to 147 locations in 1997.</w:t>
      </w:r>
    </w:p>
    <w:p>
      <w:pPr>
        <w:spacing w:after="0" w:line="328"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Net cash used in financing activities of $29.8 million in 1999 resulted primarily from net repayments under the revolving credit agreement and purchases of the Company's common shares. Net cash provided by financing activities of $27.7 million in 1998 resulted primarily from net borrowings under the revolving credit agreement. Net cash provided by financing activities of $153.1 million in 1997 resulted primarily from proceeds of $87.0 million received from the sale of shares of the Company's common stock and net borrowings under the revolving credit agreement of $86.7 million.</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On January 31, 2000, the Company entered into a $125.0 million private placement shelf facility. The uncommitted loan facility provides Watsco a source of long term, fixed-rate financing as a complement to the variable rate borrowings available under its existing revolving credit facility.</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has adequate availability of capital from operations, its revolving credit agreement and private placement shelf facility to fund present operations and anticipated growth, including expansion in its current and targeted market areas. The Company continually evaluates potential acquisitions and has held discussions with a number of acquisition candidates; however, the Company currently has no binding agreement with respect to any acquisition candidates. Should suitable acquisition opportunities or working capital needs arise that would require additional financing, the Company believes that its financial position and earnings history provide a solid base for obtaining additional financing resources at competitive rates and terms.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QUALITATIVE AND QUANTITATIVE DISCLOSURES ABOUT MARKET RISK</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Company's primary market risk exposure consists of interest rate risk. The Company's objective in managing the exposure to interest rate changes is to limit the impact of interest rate changes on earnings and cash flows and to lower its overall borrowing costs. To achieve its objectives, the Company uses interest rate swaps to manage net exposure to interest rate changes to its borrowings. These swaps are entered into with a group of financial institutions with investment grade credit ratings, thereby minimizing the risk of credit loss. All items described are non-trading. See Note 10 "Financial Instruments" in the Notes to Consolidated Financial Statements for further information.</w:t>
      </w:r>
    </w:p>
    <w:p>
      <w:pPr>
        <w:spacing w:after="0" w:line="162"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table below provides information about the Company's market sensitive financial instruments and constitutes a "forward-looking statement." The average interest rates on the variable rate debt and the average receive rate on the interest rate swaps were derived from implied forward three-month LIBOR curves.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7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EXPECTED MATURITY DATE</w:t>
            </w:r>
          </w:p>
        </w:tc>
      </w:tr>
      <w:tr>
        <w:trPr>
          <w:trHeight w:val="164"/>
        </w:trPr>
        <w:tc>
          <w:tcPr>
            <w:tcW w:w="2280" w:type="dxa"/>
            <w:vAlign w:val="bottom"/>
          </w:tcPr>
          <w:p>
            <w:pPr>
              <w:spacing w:after="0"/>
              <w:rPr>
                <w:sz w:val="14"/>
                <w:szCs w:val="14"/>
                <w:color w:val="auto"/>
              </w:rPr>
            </w:pPr>
          </w:p>
        </w:tc>
        <w:tc>
          <w:tcPr>
            <w:tcW w:w="4400" w:type="dxa"/>
            <w:vAlign w:val="bottom"/>
            <w:gridSpan w:val="3"/>
          </w:tcPr>
          <w:p>
            <w:pPr>
              <w:jc w:val="right"/>
              <w:ind w:right="529"/>
              <w:spacing w:after="0"/>
              <w:rPr>
                <w:sz w:val="20"/>
                <w:szCs w:val="20"/>
                <w:color w:val="auto"/>
              </w:rPr>
            </w:pPr>
            <w:r>
              <w:rPr>
                <w:rFonts w:ascii="Courier New" w:cs="Courier New" w:eastAsia="Courier New" w:hAnsi="Courier New"/>
                <w:sz w:val="14"/>
                <w:szCs w:val="14"/>
                <w:color w:val="auto"/>
              </w:rPr>
              <w:t>----------------------------------------</w:t>
            </w:r>
          </w:p>
        </w:tc>
      </w:tr>
      <w:tr>
        <w:trPr>
          <w:trHeight w:val="164"/>
        </w:trPr>
        <w:tc>
          <w:tcPr>
            <w:tcW w:w="2280" w:type="dxa"/>
            <w:vAlign w:val="bottom"/>
          </w:tcPr>
          <w:p>
            <w:pPr>
              <w:spacing w:after="0"/>
              <w:rPr>
                <w:sz w:val="14"/>
                <w:szCs w:val="14"/>
                <w:color w:val="auto"/>
              </w:rPr>
            </w:pPr>
          </w:p>
        </w:tc>
        <w:tc>
          <w:tcPr>
            <w:tcW w:w="1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2000</w:t>
            </w:r>
          </w:p>
        </w:tc>
        <w:tc>
          <w:tcPr>
            <w:tcW w:w="15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2001</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2002</w:t>
            </w:r>
          </w:p>
        </w:tc>
      </w:tr>
      <w:tr>
        <w:trPr>
          <w:trHeight w:val="164"/>
        </w:trPr>
        <w:tc>
          <w:tcPr>
            <w:tcW w:w="2280" w:type="dxa"/>
            <w:vAlign w:val="bottom"/>
          </w:tcPr>
          <w:p>
            <w:pPr>
              <w:spacing w:after="0"/>
              <w:rPr>
                <w:sz w:val="14"/>
                <w:szCs w:val="14"/>
                <w:color w:val="auto"/>
              </w:rPr>
            </w:pPr>
          </w:p>
        </w:tc>
        <w:tc>
          <w:tcPr>
            <w:tcW w:w="1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4"/>
        </w:trPr>
        <w:tc>
          <w:tcPr>
            <w:tcW w:w="2280" w:type="dxa"/>
            <w:vAlign w:val="bottom"/>
          </w:tcPr>
          <w:p>
            <w:pPr>
              <w:spacing w:after="0"/>
              <w:rPr>
                <w:sz w:val="20"/>
                <w:szCs w:val="20"/>
                <w:color w:val="auto"/>
              </w:rPr>
            </w:pPr>
            <w:r>
              <w:rPr>
                <w:rFonts w:ascii="Courier New" w:cs="Courier New" w:eastAsia="Courier New" w:hAnsi="Courier New"/>
                <w:sz w:val="14"/>
                <w:szCs w:val="14"/>
                <w:color w:val="auto"/>
              </w:rPr>
              <w:t>Variable rate debt</w:t>
            </w:r>
          </w:p>
        </w:tc>
        <w:tc>
          <w:tcPr>
            <w:tcW w:w="16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$315.0</w:t>
            </w:r>
          </w:p>
        </w:tc>
      </w:tr>
      <w:tr>
        <w:trPr>
          <w:trHeight w:val="164"/>
        </w:trPr>
        <w:tc>
          <w:tcPr>
            <w:tcW w:w="2280" w:type="dxa"/>
            <w:vAlign w:val="bottom"/>
          </w:tcPr>
          <w:p>
            <w:pPr>
              <w:spacing w:after="0"/>
              <w:rPr>
                <w:sz w:val="20"/>
                <w:szCs w:val="20"/>
                <w:color w:val="auto"/>
              </w:rPr>
            </w:pPr>
            <w:r>
              <w:rPr>
                <w:rFonts w:ascii="Courier New" w:cs="Courier New" w:eastAsia="Courier New" w:hAnsi="Courier New"/>
                <w:sz w:val="14"/>
                <w:szCs w:val="14"/>
                <w:color w:val="auto"/>
              </w:rPr>
              <w:t>Average interest rates</w:t>
            </w:r>
          </w:p>
        </w:tc>
        <w:tc>
          <w:tcPr>
            <w:tcW w:w="1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7.15%</w:t>
            </w:r>
          </w:p>
        </w:tc>
        <w:tc>
          <w:tcPr>
            <w:tcW w:w="15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7.74%</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7.81%</w:t>
            </w:r>
          </w:p>
        </w:tc>
      </w:tr>
      <w:tr>
        <w:trPr>
          <w:trHeight w:val="329"/>
        </w:trPr>
        <w:tc>
          <w:tcPr>
            <w:tcW w:w="2280" w:type="dxa"/>
            <w:vAlign w:val="bottom"/>
          </w:tcPr>
          <w:p>
            <w:pPr>
              <w:spacing w:after="0"/>
              <w:rPr>
                <w:sz w:val="20"/>
                <w:szCs w:val="20"/>
                <w:color w:val="auto"/>
              </w:rPr>
            </w:pPr>
            <w:r>
              <w:rPr>
                <w:rFonts w:ascii="Courier New" w:cs="Courier New" w:eastAsia="Courier New" w:hAnsi="Courier New"/>
                <w:sz w:val="14"/>
                <w:szCs w:val="14"/>
                <w:color w:val="auto"/>
              </w:rPr>
              <w:t>Interest rate swaps</w:t>
            </w: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$70.0(1)</w:t>
            </w:r>
          </w:p>
        </w:tc>
        <w:tc>
          <w:tcPr>
            <w:tcW w:w="15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$60.0(1)</w:t>
            </w:r>
          </w:p>
        </w:tc>
      </w:tr>
      <w:tr>
        <w:trPr>
          <w:trHeight w:val="164"/>
        </w:trPr>
        <w:tc>
          <w:tcPr>
            <w:tcW w:w="2280" w:type="dxa"/>
            <w:vAlign w:val="bottom"/>
          </w:tcPr>
          <w:p>
            <w:pPr>
              <w:spacing w:after="0"/>
              <w:rPr>
                <w:sz w:val="20"/>
                <w:szCs w:val="20"/>
                <w:color w:val="auto"/>
              </w:rPr>
            </w:pPr>
            <w:r>
              <w:rPr>
                <w:rFonts w:ascii="Courier New" w:cs="Courier New" w:eastAsia="Courier New" w:hAnsi="Courier New"/>
                <w:sz w:val="14"/>
                <w:szCs w:val="14"/>
                <w:color w:val="auto"/>
              </w:rPr>
              <w:t>Average pay rate</w:t>
            </w:r>
          </w:p>
        </w:tc>
        <w:tc>
          <w:tcPr>
            <w:tcW w:w="1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6.41%</w:t>
            </w:r>
          </w:p>
        </w:tc>
        <w:tc>
          <w:tcPr>
            <w:tcW w:w="15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6.41%</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6.41%</w:t>
            </w:r>
          </w:p>
        </w:tc>
      </w:tr>
      <w:tr>
        <w:trPr>
          <w:trHeight w:val="164"/>
        </w:trPr>
        <w:tc>
          <w:tcPr>
            <w:tcW w:w="2280" w:type="dxa"/>
            <w:vAlign w:val="bottom"/>
          </w:tcPr>
          <w:p>
            <w:pPr>
              <w:spacing w:after="0"/>
              <w:rPr>
                <w:sz w:val="20"/>
                <w:szCs w:val="20"/>
                <w:color w:val="auto"/>
              </w:rPr>
            </w:pPr>
            <w:r>
              <w:rPr>
                <w:rFonts w:ascii="Courier New" w:cs="Courier New" w:eastAsia="Courier New" w:hAnsi="Courier New"/>
                <w:sz w:val="14"/>
                <w:szCs w:val="14"/>
                <w:color w:val="auto"/>
              </w:rPr>
              <w:t>Average receive rate</w:t>
            </w:r>
          </w:p>
        </w:tc>
        <w:tc>
          <w:tcPr>
            <w:tcW w:w="1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6.65%</w:t>
            </w:r>
          </w:p>
        </w:tc>
        <w:tc>
          <w:tcPr>
            <w:tcW w:w="15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7.24%</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7.31%</w:t>
            </w:r>
          </w:p>
        </w:tc>
      </w:tr>
    </w:tbl>
    <w:p>
      <w:pPr>
        <w:spacing w:after="0" w:line="168" w:lineRule="exact"/>
        <w:rPr>
          <w:sz w:val="20"/>
          <w:szCs w:val="20"/>
          <w:color w:val="auto"/>
        </w:rPr>
      </w:pPr>
    </w:p>
    <w:p>
      <w:pPr>
        <w:ind w:left="700" w:right="3319" w:hanging="351"/>
        <w:spacing w:after="0" w:line="249" w:lineRule="auto"/>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1999, the Company's interest rate swap portfolio consisted of several swaps aggregating a notional value of $60.0 million and maturity dates ranging from 2002 to 2007 and a single swap with a notional value of $70.0 million that matured on January 26, 2000 and was used to hedge a short-term interest rate increase related to the year 2000 systems issue.</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6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 March 1998, the Accounting Standards Executive Committee ("AcSEC") of the American Institute of Certified Public Accountants issued Statement of Position ("SOP") 98-1, "Accounting for the Costs of Computer Software Developed or Obtained for Internal Use." SOP 98-1 establishes criteria for determining which costs of developing or obtaining internal-use computer software should be charged to expense and which should be capitalized. The Company adopted SOP 98-1 on January 1, 1999. The adoption of SOP 98-1 was not material to the Company's consolidated financial position or results of operations.</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In April 1998, the AcSEC issued SOP 98-5, "Reporting on the Costs of Start-Up Activities." SOP 98-5 establishes standards for the reporting and disclosure of start-up costs, including organization costs. The Company adopted SOP 98-5 on January 1, 1999. Adoption of SOP 98-5 was not material to the Company's consolidated financial position or results of operations.</w:t>
      </w:r>
    </w:p>
    <w:p>
      <w:pPr>
        <w:spacing w:after="0" w:line="163"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In June 1998, the Financial Accounting Standards Board ("FASB") issued Statement of Financial Accounting Standards ("SFAS") No. 133, "Accounting for Derivative Instruments and Hedging Activities." SFAS No. 133 establishes accounting and reporting standards requiring that every derivative instrument (including certain derivative instruments embedded in other contracts) be recorded in the balance sheet as either an asset or liability measured at its fair value. SFAS No. 133 also requires that changes in derivatives' fair value be recognized currently in earnings unless specific hedge accounting criteria are met. The impact of SFAS No. 133 on the Company's consolidated financial statements will depend on a variety of factors, including future interpretive guidance from the FASB, the extent of the Company's hedging activities, the type of hedging instruments used and the effectiveness of such instruments. The Company has not quantified the impact of adopting SFAS No. 133. In June 1999, the FASB issued SFAS No. 137 "Accounting for Derivative Instruments and Hedging Activities - Deferral of the Effective Date of FASB Statement No. 133 - an amendment of FASB Statement No. 133," which delayed the implementation date for SFAS 133 for one year to fiscal years beginning after June 15, 2000.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In 1997 the Company began a program intended to assess the ability of the Company's systems to recognize dates properly on or after January 1, 2000 and ensure that these systems were Year 2000 compliant. This program addressed three main areas: (i) information technology; (ii) other systems such as communications, facilities management, and service equipment containing embedded computer chips and (iii) systems of key business partners (primarily the Company's customers and suppliers). The Company completed the program prior to December 31, 1999, and its systems did not experience any significant disruptions as a result of the century change. Costs expended under the Year 2000 compliance program aggregated approximately $1.1 million through the date of completion. Additional costs relating to the Year 2000 issue subsequent to 1999 were not significant.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This annual report contains statements which, to the extent they are not historical fact, constitute "forward-looking statements" under the securities laws. All forward-looking statements involve risks, uncertainties and other factors that may cause the actual results, performance or achievements of the Company to differ materially from those contemplated or projected, forecasted, estimated, budgeted, expressed or implied by or in such forward-looking statements. The forward-looking statements in this document are intended to be subject to the safe harbor protection provided under the securities laws.</w:t>
      </w:r>
    </w:p>
    <w:p>
      <w:pPr>
        <w:spacing w:after="0" w:line="163" w:lineRule="exact"/>
        <w:rPr>
          <w:sz w:val="20"/>
          <w:szCs w:val="20"/>
          <w:color w:val="auto"/>
        </w:rPr>
      </w:pPr>
    </w:p>
    <w:p>
      <w:pPr>
        <w:ind w:right="3579"/>
        <w:spacing w:after="0" w:line="249" w:lineRule="auto"/>
        <w:rPr>
          <w:sz w:val="20"/>
          <w:szCs w:val="20"/>
          <w:color w:val="auto"/>
        </w:rPr>
      </w:pPr>
      <w:r>
        <w:rPr>
          <w:rFonts w:ascii="Courier New" w:cs="Courier New" w:eastAsia="Courier New" w:hAnsi="Courier New"/>
          <w:sz w:val="14"/>
          <w:szCs w:val="14"/>
          <w:color w:val="auto"/>
        </w:rPr>
        <w:t>For additional information identifying some other important factors which may affect the Company's operations and markets and could cause actual results to vary materially from those anticipated in the forward looking statements, see the Company's Securities and Exchange Commission filings, including but not limited to, the discussion included in the Business section of the Company's Form 10-K under the heading "Other Information."</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612" w:right="1440" w:bottom="1440" w:gutter="0" w:footer="0" w:header="0"/>
        </w:sectPr>
      </w:pPr>
    </w:p>
    <w:bookmarkStart w:id="19" w:name="page20"/>
    <w:bookmarkEnd w:id="19"/>
    <w:p>
      <w:pPr>
        <w:ind w:left="2140"/>
        <w:spacing w:after="0"/>
        <w:rPr>
          <w:sz w:val="20"/>
          <w:szCs w:val="20"/>
          <w:color w:val="auto"/>
        </w:rPr>
      </w:pPr>
      <w:r>
        <w:rPr>
          <w:rFonts w:ascii="Courier New" w:cs="Courier New" w:eastAsia="Courier New" w:hAnsi="Courier New"/>
          <w:sz w:val="14"/>
          <w:szCs w:val="14"/>
          <w:color w:val="auto"/>
        </w:rPr>
        <w:t>WATSCO, INC. AND SUBSIDIARIES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2"/>
          </w:tcPr>
          <w:p>
            <w:pPr>
              <w:ind w:left="2060"/>
              <w:spacing w:after="0"/>
              <w:rPr>
                <w:sz w:val="20"/>
                <w:szCs w:val="20"/>
                <w:color w:val="auto"/>
              </w:rPr>
            </w:pPr>
            <w:r>
              <w:rPr>
                <w:rFonts w:ascii="Courier New" w:cs="Courier New" w:eastAsia="Courier New" w:hAnsi="Courier New"/>
                <w:sz w:val="14"/>
                <w:szCs w:val="14"/>
                <w:color w:val="auto"/>
              </w:rPr>
              <w:t>CONSOLIDATED STATEMENTS OF INCOME</w:t>
            </w:r>
          </w:p>
        </w:tc>
        <w:tc>
          <w:tcPr>
            <w:tcW w:w="15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657"/>
        </w:trPr>
        <w:tc>
          <w:tcPr>
            <w:tcW w:w="390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4"/>
        </w:trPr>
        <w:tc>
          <w:tcPr>
            <w:tcW w:w="390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17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1999</w:t>
            </w:r>
          </w:p>
        </w:tc>
        <w:tc>
          <w:tcPr>
            <w:tcW w:w="15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$1,246,272</w:t>
            </w:r>
          </w:p>
        </w:tc>
        <w:tc>
          <w:tcPr>
            <w:tcW w:w="15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$1,062,265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$679,931</w:t>
            </w:r>
          </w:p>
        </w:tc>
      </w:tr>
      <w:tr>
        <w:trPr>
          <w:trHeight w:val="164"/>
        </w:trPr>
        <w:tc>
          <w:tcPr>
            <w:tcW w:w="278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954,434</w:t>
            </w:r>
          </w:p>
        </w:tc>
        <w:tc>
          <w:tcPr>
            <w:tcW w:w="15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820,341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527,143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3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240" w:type="dxa"/>
            <w:vAlign w:val="bottom"/>
            <w:gridSpan w:val="2"/>
          </w:tcPr>
          <w:p>
            <w:pPr>
              <w:spacing w:after="0"/>
              <w:rPr>
                <w:sz w:val="20"/>
                <w:szCs w:val="20"/>
                <w:color w:val="auto"/>
              </w:rPr>
            </w:pPr>
            <w:r>
              <w:rPr>
                <w:rFonts w:ascii="Courier New" w:cs="Courier New" w:eastAsia="Courier New" w:hAnsi="Courier New"/>
                <w:sz w:val="14"/>
                <w:szCs w:val="14"/>
                <w:color w:val="auto"/>
              </w:rPr>
              <w:t>Gross profit</w:t>
            </w:r>
          </w:p>
        </w:tc>
        <w:tc>
          <w:tcPr>
            <w:tcW w:w="15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291,838</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241,924</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152,788</w:t>
            </w:r>
          </w:p>
        </w:tc>
      </w:tr>
      <w:tr>
        <w:trPr>
          <w:trHeight w:val="164"/>
        </w:trPr>
        <w:tc>
          <w:tcPr>
            <w:tcW w:w="4240" w:type="dxa"/>
            <w:vAlign w:val="bottom"/>
            <w:gridSpan w:val="2"/>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5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232,399</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187,858</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117,995</w:t>
            </w:r>
          </w:p>
        </w:tc>
      </w:tr>
      <w:tr>
        <w:trPr>
          <w:trHeight w:val="164"/>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3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24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15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59,439</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54,066</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34,793</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w:t>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Investment income, net</w:t>
            </w:r>
          </w:p>
        </w:tc>
        <w:tc>
          <w:tcPr>
            <w:tcW w:w="24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296</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149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1,511</w:t>
            </w:r>
          </w:p>
        </w:tc>
      </w:tr>
      <w:tr>
        <w:trPr>
          <w:trHeight w:val="164"/>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(12,939)</w:t>
            </w:r>
          </w:p>
        </w:tc>
        <w:tc>
          <w:tcPr>
            <w:tcW w:w="15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(11,402)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(4,812)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2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(12,643)</w:t>
            </w:r>
          </w:p>
        </w:tc>
        <w:tc>
          <w:tcPr>
            <w:tcW w:w="15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(11,253)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(3,301)</w:t>
            </w:r>
          </w:p>
        </w:tc>
      </w:tr>
    </w:tbl>
    <w:p>
      <w:pPr>
        <w:spacing w:after="0" w:line="4"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 continuing operations before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income taxes and minority interests</w:t>
            </w:r>
          </w:p>
        </w:tc>
        <w:tc>
          <w:tcPr>
            <w:tcW w:w="18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46,796</w:t>
            </w:r>
          </w:p>
        </w:tc>
        <w:tc>
          <w:tcPr>
            <w:tcW w:w="15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42,813</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31,492</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(17,315)</w:t>
            </w:r>
          </w:p>
        </w:tc>
        <w:tc>
          <w:tcPr>
            <w:tcW w:w="150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(15,841)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(12,124)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29,481</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26,972</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19,368</w:t>
            </w:r>
          </w:p>
        </w:tc>
      </w:tr>
      <w:tr>
        <w:trPr>
          <w:trHeight w:val="164"/>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Discontinued operation, net of income taxes:</w:t>
            </w: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Loss from operation</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(1,011)</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Loss on sale</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(981)</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$29,481</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$25,191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$18,357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4"/>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54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$1.03</w:t>
            </w:r>
          </w:p>
        </w:tc>
        <w:tc>
          <w:tcPr>
            <w:tcW w:w="1620" w:type="dxa"/>
            <w:vAlign w:val="bottom"/>
          </w:tcPr>
          <w:p>
            <w:pPr>
              <w:ind w:left="600"/>
              <w:spacing w:after="0"/>
              <w:rPr>
                <w:sz w:val="20"/>
                <w:szCs w:val="20"/>
                <w:color w:val="auto"/>
              </w:rPr>
            </w:pPr>
            <w:r>
              <w:rPr>
                <w:rFonts w:ascii="Courier New" w:cs="Courier New" w:eastAsia="Courier New" w:hAnsi="Courier New"/>
                <w:sz w:val="14"/>
                <w:szCs w:val="14"/>
                <w:color w:val="auto"/>
              </w:rPr>
              <w:t>$0.99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$0.76</w:t>
            </w:r>
          </w:p>
        </w:tc>
      </w:tr>
      <w:tr>
        <w:trPr>
          <w:trHeight w:val="164"/>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Discontinued operation, net of income taxes:</w:t>
            </w: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Loss from operation</w:t>
            </w:r>
          </w:p>
        </w:tc>
        <w:tc>
          <w:tcPr>
            <w:tcW w:w="1540" w:type="dxa"/>
            <w:vAlign w:val="bottom"/>
          </w:tcPr>
          <w:p>
            <w:pPr>
              <w:jc w:val="center"/>
              <w:ind w:right="29"/>
              <w:spacing w:after="0"/>
              <w:rPr>
                <w:sz w:val="20"/>
                <w:szCs w:val="20"/>
                <w:color w:val="auto"/>
              </w:rPr>
            </w:pPr>
            <w:r>
              <w:rPr>
                <w:rFonts w:ascii="Courier New" w:cs="Courier New" w:eastAsia="Courier New" w:hAnsi="Courier New"/>
                <w:sz w:val="14"/>
                <w:szCs w:val="14"/>
                <w:color w:val="auto"/>
                <w:w w:val="94"/>
              </w:rPr>
              <w:t>-</w:t>
            </w:r>
          </w:p>
        </w:tc>
        <w:tc>
          <w:tcPr>
            <w:tcW w:w="1620" w:type="dxa"/>
            <w:vAlign w:val="bottom"/>
          </w:tcPr>
          <w:p>
            <w:pPr>
              <w:ind w:left="600"/>
              <w:spacing w:after="0"/>
              <w:rPr>
                <w:sz w:val="20"/>
                <w:szCs w:val="20"/>
                <w:color w:val="auto"/>
              </w:rPr>
            </w:pPr>
            <w:r>
              <w:rPr>
                <w:rFonts w:ascii="Courier New" w:cs="Courier New" w:eastAsia="Courier New" w:hAnsi="Courier New"/>
                <w:sz w:val="14"/>
                <w:szCs w:val="14"/>
                <w:color w:val="auto"/>
              </w:rPr>
              <w:t>(0.02)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Loss on sale</w:t>
            </w:r>
          </w:p>
        </w:tc>
        <w:tc>
          <w:tcPr>
            <w:tcW w:w="1540" w:type="dxa"/>
            <w:vAlign w:val="bottom"/>
          </w:tcPr>
          <w:p>
            <w:pPr>
              <w:jc w:val="center"/>
              <w:ind w:right="29"/>
              <w:spacing w:after="0"/>
              <w:rPr>
                <w:sz w:val="20"/>
                <w:szCs w:val="20"/>
                <w:color w:val="auto"/>
              </w:rPr>
            </w:pPr>
            <w:r>
              <w:rPr>
                <w:rFonts w:ascii="Courier New" w:cs="Courier New" w:eastAsia="Courier New" w:hAnsi="Courier New"/>
                <w:sz w:val="14"/>
                <w:szCs w:val="14"/>
                <w:color w:val="auto"/>
                <w:w w:val="94"/>
              </w:rPr>
              <w:t>-</w:t>
            </w:r>
          </w:p>
        </w:tc>
        <w:tc>
          <w:tcPr>
            <w:tcW w:w="1620" w:type="dxa"/>
            <w:vAlign w:val="bottom"/>
          </w:tcPr>
          <w:p>
            <w:pPr>
              <w:ind w:left="600"/>
              <w:spacing w:after="0"/>
              <w:rPr>
                <w:sz w:val="20"/>
                <w:szCs w:val="20"/>
                <w:color w:val="auto"/>
              </w:rPr>
            </w:pPr>
            <w:r>
              <w:rPr>
                <w:rFonts w:ascii="Courier New" w:cs="Courier New" w:eastAsia="Courier New" w:hAnsi="Courier New"/>
                <w:sz w:val="14"/>
                <w:szCs w:val="14"/>
                <w:color w:val="auto"/>
              </w:rPr>
              <w:t>(0.04)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$1.03</w:t>
            </w:r>
          </w:p>
        </w:tc>
        <w:tc>
          <w:tcPr>
            <w:tcW w:w="15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$0.93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earnings per share: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$0.99</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$0.94</w:t>
            </w:r>
          </w:p>
        </w:tc>
        <w:tc>
          <w:tcPr>
            <w:tcW w:w="1020" w:type="dxa"/>
            <w:vAlign w:val="bottom"/>
          </w:tcPr>
          <w:p>
            <w:pPr>
              <w:ind w:left="500"/>
              <w:spacing w:after="0"/>
              <w:rPr>
                <w:sz w:val="20"/>
                <w:szCs w:val="20"/>
                <w:color w:val="auto"/>
              </w:rPr>
            </w:pPr>
            <w:r>
              <w:rPr>
                <w:rFonts w:ascii="Courier New" w:cs="Courier New" w:eastAsia="Courier New" w:hAnsi="Courier New"/>
                <w:sz w:val="14"/>
                <w:szCs w:val="14"/>
                <w:color w:val="auto"/>
              </w:rPr>
              <w:t>$0.72</w:t>
            </w:r>
          </w:p>
        </w:tc>
      </w:tr>
      <w:tr>
        <w:trPr>
          <w:trHeight w:val="164"/>
        </w:trPr>
        <w:tc>
          <w:tcPr>
            <w:tcW w:w="4320" w:type="dxa"/>
            <w:vAlign w:val="bottom"/>
          </w:tcPr>
          <w:p>
            <w:pPr>
              <w:spacing w:after="0"/>
              <w:rPr>
                <w:sz w:val="20"/>
                <w:szCs w:val="20"/>
                <w:color w:val="auto"/>
              </w:rPr>
            </w:pPr>
            <w:r>
              <w:rPr>
                <w:rFonts w:ascii="Courier New" w:cs="Courier New" w:eastAsia="Courier New" w:hAnsi="Courier New"/>
                <w:sz w:val="14"/>
                <w:szCs w:val="14"/>
                <w:color w:val="auto"/>
              </w:rPr>
              <w:t>Discontinued operation, net of income taxes:</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Loss from operation</w:t>
            </w:r>
          </w:p>
        </w:tc>
        <w:tc>
          <w:tcPr>
            <w:tcW w:w="150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(0.02)</w:t>
            </w:r>
          </w:p>
        </w:tc>
        <w:tc>
          <w:tcPr>
            <w:tcW w:w="1020" w:type="dxa"/>
            <w:vAlign w:val="bottom"/>
          </w:tcPr>
          <w:p>
            <w:pPr>
              <w:ind w:left="500"/>
              <w:spacing w:after="0"/>
              <w:rPr>
                <w:sz w:val="20"/>
                <w:szCs w:val="20"/>
                <w:color w:val="auto"/>
              </w:rPr>
            </w:pPr>
            <w:r>
              <w:rPr>
                <w:rFonts w:ascii="Courier New" w:cs="Courier New" w:eastAsia="Courier New" w:hAnsi="Courier New"/>
                <w:sz w:val="14"/>
                <w:szCs w:val="14"/>
                <w:color w:val="auto"/>
                <w:w w:val="99"/>
              </w:rPr>
              <w:t>(0.04)</w:t>
            </w:r>
          </w:p>
        </w:tc>
      </w:tr>
      <w:tr>
        <w:trPr>
          <w:trHeight w:val="164"/>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Loss on sale</w:t>
            </w:r>
          </w:p>
        </w:tc>
        <w:tc>
          <w:tcPr>
            <w:tcW w:w="150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(0.03)</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$0.99</w:t>
            </w:r>
          </w:p>
        </w:tc>
        <w:tc>
          <w:tcPr>
            <w:tcW w:w="15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$0.89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4"/>
          <w:szCs w:val="14"/>
          <w:color w:val="auto"/>
        </w:rPr>
        <w:t>THE ACCOMPANYING NOTES TO CONSOLIDATED FINANCIAL STATEMENTS ARE AN INTEGRAL PART OF THESE STATEMENTS.</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159"/>
          </w:cols>
          <w:pgMar w:left="300" w:top="777" w:right="1440" w:bottom="1440" w:gutter="0" w:footer="0" w:header="0"/>
        </w:sectPr>
      </w:pPr>
    </w:p>
    <w:bookmarkStart w:id="20" w:name="page21"/>
    <w:bookmarkEnd w:id="20"/>
    <w:p>
      <w:pPr>
        <w:jc w:val="center"/>
        <w:ind w:right="3219"/>
        <w:spacing w:after="0"/>
        <w:rPr>
          <w:sz w:val="20"/>
          <w:szCs w:val="20"/>
          <w:color w:val="auto"/>
        </w:rPr>
      </w:pPr>
      <w:r>
        <w:rPr>
          <w:rFonts w:ascii="Courier New" w:cs="Courier New" w:eastAsia="Courier New" w:hAnsi="Courier New"/>
          <w:sz w:val="14"/>
          <w:szCs w:val="14"/>
          <w:color w:val="auto"/>
        </w:rPr>
        <w:t>WATSCO, INC. AND SUBSIDIARIES</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30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4"/>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30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4"/>
        </w:trPr>
        <w:tc>
          <w:tcPr>
            <w:tcW w:w="46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4"/>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3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  7,484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7,249</w:t>
            </w:r>
          </w:p>
        </w:tc>
      </w:tr>
      <w:tr>
        <w:trPr>
          <w:trHeight w:val="164"/>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w:t>
            </w:r>
          </w:p>
        </w:tc>
        <w:tc>
          <w:tcPr>
            <w:tcW w:w="3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164,999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144,946</w:t>
            </w:r>
          </w:p>
        </w:tc>
      </w:tr>
      <w:tr>
        <w:trPr>
          <w:trHeight w:val="164"/>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3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223,887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202,592</w:t>
            </w:r>
          </w:p>
        </w:tc>
      </w:tr>
      <w:tr>
        <w:trPr>
          <w:trHeight w:val="164"/>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3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18,699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14,163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3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415,069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368,950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30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31,427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31,733</w:t>
            </w:r>
          </w:p>
        </w:tc>
      </w:tr>
      <w:tr>
        <w:trPr>
          <w:trHeight w:val="164"/>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30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131,556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110,253</w:t>
            </w:r>
          </w:p>
        </w:tc>
      </w:tr>
      <w:tr>
        <w:trPr>
          <w:trHeight w:val="164"/>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0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10,854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24,387</w:t>
            </w:r>
          </w:p>
        </w:tc>
      </w:tr>
    </w:tbl>
    <w:p>
      <w:pPr>
        <w:spacing w:after="0" w:line="4"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6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$588,906$535,323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4"/>
        </w:trPr>
        <w:tc>
          <w:tcPr>
            <w:tcW w:w="52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4"/>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Current portion of long-term obligations</w:t>
            </w:r>
          </w:p>
        </w:tc>
        <w:tc>
          <w:tcPr>
            <w:tcW w:w="27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  5,915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1,042</w:t>
            </w:r>
          </w:p>
        </w:tc>
      </w:tr>
      <w:tr>
        <w:trPr>
          <w:trHeight w:val="164"/>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27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89,997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61,164</w:t>
            </w:r>
          </w:p>
        </w:tc>
      </w:tr>
      <w:tr>
        <w:trPr>
          <w:trHeight w:val="164"/>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Accrued liabilities</w:t>
            </w:r>
          </w:p>
        </w:tc>
        <w:tc>
          <w:tcPr>
            <w:tcW w:w="27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26,895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22,336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122,807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84,542</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obligations:</w:t>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180" w:type="dxa"/>
            <w:vAlign w:val="bottom"/>
          </w:tcPr>
          <w:p>
            <w:pPr>
              <w:spacing w:after="0"/>
              <w:rPr>
                <w:sz w:val="20"/>
                <w:szCs w:val="20"/>
                <w:color w:val="auto"/>
              </w:rPr>
            </w:pPr>
            <w:r>
              <w:rPr>
                <w:rFonts w:ascii="Courier New" w:cs="Courier New" w:eastAsia="Courier New" w:hAnsi="Courier New"/>
                <w:sz w:val="14"/>
                <w:szCs w:val="14"/>
                <w:color w:val="auto"/>
              </w:rPr>
              <w:t>Borrowings under revolving credit agreement</w:t>
            </w:r>
          </w:p>
        </w:tc>
        <w:tc>
          <w:tcPr>
            <w:tcW w:w="25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155,000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168,000</w:t>
            </w:r>
          </w:p>
        </w:tc>
      </w:tr>
      <w:tr>
        <w:trPr>
          <w:trHeight w:val="164"/>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Bank and other debt</w:t>
            </w:r>
          </w:p>
        </w:tc>
        <w:tc>
          <w:tcPr>
            <w:tcW w:w="25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4,415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4,301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6900" w:val="left"/>
          <w:tab w:leader="none" w:pos="8440" w:val="left"/>
        </w:tabs>
        <w:rPr>
          <w:sz w:val="20"/>
          <w:szCs w:val="20"/>
          <w:color w:val="auto"/>
        </w:rPr>
      </w:pPr>
      <w:r>
        <w:rPr>
          <w:rFonts w:ascii="Courier New" w:cs="Courier New" w:eastAsia="Courier New" w:hAnsi="Courier New"/>
          <w:sz w:val="14"/>
          <w:szCs w:val="14"/>
          <w:color w:val="auto"/>
        </w:rPr>
        <w:t>Total long-term obligations</w:t>
      </w:r>
      <w:r>
        <w:rPr>
          <w:sz w:val="20"/>
          <w:szCs w:val="20"/>
          <w:color w:val="auto"/>
        </w:rPr>
        <w:tab/>
      </w:r>
      <w:r>
        <w:rPr>
          <w:rFonts w:ascii="Courier New" w:cs="Courier New" w:eastAsia="Courier New" w:hAnsi="Courier New"/>
          <w:sz w:val="14"/>
          <w:szCs w:val="14"/>
          <w:color w:val="auto"/>
        </w:rPr>
        <w:t>159,415</w:t>
      </w:r>
      <w:r>
        <w:rPr>
          <w:sz w:val="20"/>
          <w:szCs w:val="20"/>
          <w:color w:val="auto"/>
        </w:rPr>
        <w:tab/>
      </w:r>
      <w:r>
        <w:rPr>
          <w:rFonts w:ascii="Courier New" w:cs="Courier New" w:eastAsia="Courier New" w:hAnsi="Courier New"/>
          <w:sz w:val="14"/>
          <w:szCs w:val="14"/>
          <w:color w:val="auto"/>
        </w:rPr>
        <w:t>172,301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7080" w:val="left"/>
          <w:tab w:leader="none" w:pos="8620" w:val="left"/>
        </w:tabs>
        <w:rPr>
          <w:sz w:val="20"/>
          <w:szCs w:val="20"/>
          <w:color w:val="auto"/>
        </w:rPr>
      </w:pPr>
      <w:r>
        <w:rPr>
          <w:rFonts w:ascii="Courier New" w:cs="Courier New" w:eastAsia="Courier New" w:hAnsi="Courier New"/>
          <w:sz w:val="14"/>
          <w:szCs w:val="14"/>
          <w:color w:val="auto"/>
        </w:rPr>
        <w:t>Deferred income taxes and other liabilities</w:t>
      </w:r>
      <w:r>
        <w:rPr>
          <w:sz w:val="20"/>
          <w:szCs w:val="20"/>
          <w:color w:val="auto"/>
        </w:rPr>
        <w:tab/>
      </w:r>
      <w:r>
        <w:rPr>
          <w:rFonts w:ascii="Courier New" w:cs="Courier New" w:eastAsia="Courier New" w:hAnsi="Courier New"/>
          <w:sz w:val="14"/>
          <w:szCs w:val="14"/>
          <w:color w:val="auto"/>
        </w:rPr>
        <w:t>4,968</w:t>
      </w:r>
      <w:r>
        <w:rPr>
          <w:sz w:val="20"/>
          <w:szCs w:val="20"/>
          <w:color w:val="auto"/>
        </w:rPr>
        <w:tab/>
      </w:r>
      <w:r>
        <w:rPr>
          <w:rFonts w:ascii="Courier New" w:cs="Courier New" w:eastAsia="Courier New" w:hAnsi="Courier New"/>
          <w:sz w:val="14"/>
          <w:szCs w:val="14"/>
          <w:color w:val="auto"/>
        </w:rPr>
        <w:t>3,912</w:t>
      </w:r>
    </w:p>
    <w:p>
      <w:pPr>
        <w:spacing w:after="0" w:line="6"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(Notes 10 and 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6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Common Stock, $0.50 par value, 26,071,649 and 24,839,735 shares</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 in</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1999 and 1998, respectively</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13,036</w:t>
            </w:r>
          </w:p>
        </w:tc>
        <w:tc>
          <w:tcPr>
            <w:tcW w:w="11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12,420</w:t>
            </w:r>
          </w:p>
        </w:tc>
      </w:tr>
      <w:tr>
        <w:trPr>
          <w:trHeight w:val="164"/>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Class B Common Stock, $0.50</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par value, 3,181,628 and 3,192,579 shares</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 in</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1999 and 1998, respectively</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1,591</w:t>
            </w:r>
          </w:p>
        </w:tc>
        <w:tc>
          <w:tcPr>
            <w:tcW w:w="11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1,596</w:t>
            </w:r>
          </w:p>
        </w:tc>
      </w:tr>
      <w:tr>
        <w:trPr>
          <w:trHeight w:val="164"/>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Paid-in capital</w:t>
            </w:r>
          </w:p>
        </w:tc>
        <w:tc>
          <w:tcPr>
            <w:tcW w:w="392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202,106</w:t>
            </w:r>
          </w:p>
        </w:tc>
        <w:tc>
          <w:tcPr>
            <w:tcW w:w="11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189,225</w:t>
            </w:r>
          </w:p>
        </w:tc>
      </w:tr>
      <w:tr>
        <w:trPr>
          <w:trHeight w:val="164"/>
        </w:trPr>
        <w:tc>
          <w:tcPr>
            <w:tcW w:w="6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Unearned compensation related to outstanding restricted stock</w:t>
            </w:r>
          </w:p>
        </w:tc>
        <w:tc>
          <w:tcPr>
            <w:tcW w:w="15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(5,998)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(5,051)</w:t>
            </w:r>
          </w:p>
        </w:tc>
      </w:tr>
      <w:tr>
        <w:trPr>
          <w:trHeight w:val="164"/>
        </w:trPr>
        <w:tc>
          <w:tcPr>
            <w:tcW w:w="6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Unrealized loss on investments, net of tax</w:t>
            </w:r>
          </w:p>
        </w:tc>
        <w:tc>
          <w:tcPr>
            <w:tcW w:w="15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(669)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(2,962)</w:t>
            </w:r>
          </w:p>
        </w:tc>
      </w:tr>
      <w:tr>
        <w:trPr>
          <w:trHeight w:val="164"/>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392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105,971</w:t>
            </w:r>
          </w:p>
        </w:tc>
        <w:tc>
          <w:tcPr>
            <w:tcW w:w="11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79,340</w:t>
            </w:r>
          </w:p>
        </w:tc>
      </w:tr>
      <w:tr>
        <w:trPr>
          <w:trHeight w:val="164"/>
        </w:trPr>
        <w:tc>
          <w:tcPr>
            <w:tcW w:w="6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Treasury Stock, at cost, 1,346,200 shares of common stock in 1999</w:t>
            </w:r>
          </w:p>
        </w:tc>
        <w:tc>
          <w:tcPr>
            <w:tcW w:w="15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(14,321)</w:t>
            </w:r>
          </w:p>
        </w:tc>
        <w:tc>
          <w:tcPr>
            <w:tcW w:w="11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6900" w:val="left"/>
          <w:tab w:leader="none" w:pos="844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301,716</w:t>
      </w:r>
      <w:r>
        <w:rPr>
          <w:sz w:val="20"/>
          <w:szCs w:val="20"/>
          <w:color w:val="auto"/>
        </w:rPr>
        <w:tab/>
      </w:r>
      <w:r>
        <w:rPr>
          <w:rFonts w:ascii="Courier New" w:cs="Courier New" w:eastAsia="Courier New" w:hAnsi="Courier New"/>
          <w:sz w:val="14"/>
          <w:szCs w:val="14"/>
          <w:color w:val="auto"/>
        </w:rPr>
        <w:t>274,568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6840"/>
        <w:spacing w:after="0"/>
        <w:tabs>
          <w:tab w:leader="none" w:pos="8360" w:val="left"/>
        </w:tabs>
        <w:rPr>
          <w:sz w:val="20"/>
          <w:szCs w:val="20"/>
          <w:color w:val="auto"/>
        </w:rPr>
      </w:pPr>
      <w:r>
        <w:rPr>
          <w:rFonts w:ascii="Courier New" w:cs="Courier New" w:eastAsia="Courier New" w:hAnsi="Courier New"/>
          <w:sz w:val="14"/>
          <w:szCs w:val="14"/>
          <w:color w:val="auto"/>
        </w:rPr>
        <w:t>$588,906</w:t>
      </w:r>
      <w:r>
        <w:rPr>
          <w:sz w:val="20"/>
          <w:szCs w:val="20"/>
          <w:color w:val="auto"/>
        </w:rPr>
        <w:tab/>
      </w:r>
      <w:r>
        <w:rPr>
          <w:rFonts w:ascii="Courier New" w:cs="Courier New" w:eastAsia="Courier New" w:hAnsi="Courier New"/>
          <w:sz w:val="14"/>
          <w:szCs w:val="14"/>
          <w:color w:val="auto"/>
        </w:rPr>
        <w:t>$535,323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4"/>
          <w:szCs w:val="14"/>
          <w:color w:val="auto"/>
        </w:rPr>
        <w:t>THE ACCOMPANYING NOTES TO CONSOLIDATED FINANCIAL STATEMENTS ARE AN INTEGRAL PART OF THESE BALANCE SHEETS.</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159"/>
          </w:cols>
          <w:pgMar w:left="300" w:top="612" w:right="1440" w:bottom="1440" w:gutter="0" w:footer="0" w:header="0"/>
        </w:sectPr>
      </w:pPr>
    </w:p>
    <w:bookmarkStart w:id="21" w:name="page22"/>
    <w:bookmarkEnd w:id="21"/>
    <w:p>
      <w:pPr>
        <w:jc w:val="center"/>
        <w:ind w:right="4420"/>
        <w:spacing w:after="0"/>
        <w:rPr>
          <w:sz w:val="20"/>
          <w:szCs w:val="20"/>
          <w:color w:val="auto"/>
        </w:rPr>
      </w:pPr>
      <w:r>
        <w:rPr>
          <w:rFonts w:ascii="Courier New" w:cs="Courier New" w:eastAsia="Courier New" w:hAnsi="Courier New"/>
          <w:sz w:val="14"/>
          <w:szCs w:val="14"/>
          <w:color w:val="auto"/>
        </w:rPr>
        <w:t>WATSCO, INC. AND SUBSIDIARIES</w:t>
      </w:r>
    </w:p>
    <w:p>
      <w:pPr>
        <w:spacing w:after="0" w:line="6"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CONSOLIDATED STATEMENTS OF SHAREHOLDERS' EQUITY</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OUTSTANDING</w:t>
            </w:r>
          </w:p>
        </w:tc>
        <w:tc>
          <w:tcPr>
            <w:tcW w:w="11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UNREALIZED</w:t>
            </w:r>
          </w:p>
        </w:tc>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4"/>
        </w:trPr>
        <w:tc>
          <w:tcPr>
            <w:tcW w:w="3300" w:type="dxa"/>
            <w:vAlign w:val="bottom"/>
          </w:tcPr>
          <w:p>
            <w:pPr>
              <w:spacing w:after="0"/>
              <w:rPr>
                <w:sz w:val="14"/>
                <w:szCs w:val="14"/>
                <w:color w:val="auto"/>
              </w:rPr>
            </w:pPr>
          </w:p>
        </w:tc>
        <w:tc>
          <w:tcPr>
            <w:tcW w:w="2140" w:type="dxa"/>
            <w:vAlign w:val="bottom"/>
            <w:gridSpan w:val="2"/>
          </w:tcPr>
          <w:p>
            <w:pPr>
              <w:ind w:left="720"/>
              <w:spacing w:after="0"/>
              <w:rPr>
                <w:sz w:val="20"/>
                <w:szCs w:val="20"/>
                <w:color w:val="auto"/>
              </w:rPr>
            </w:pPr>
            <w:r>
              <w:rPr>
                <w:rFonts w:ascii="Courier New" w:cs="Courier New" w:eastAsia="Courier New" w:hAnsi="Courier New"/>
                <w:sz w:val="14"/>
                <w:szCs w:val="14"/>
                <w:color w:val="auto"/>
              </w:rPr>
              <w:t>COMMON STOCK</w:t>
            </w:r>
          </w:p>
        </w:tc>
        <w:tc>
          <w:tcPr>
            <w:tcW w:w="900" w:type="dxa"/>
            <w:vAlign w:val="bottom"/>
          </w:tcPr>
          <w:p>
            <w:pPr>
              <w:ind w:left="200"/>
              <w:spacing w:after="0"/>
              <w:rPr>
                <w:sz w:val="20"/>
                <w:szCs w:val="20"/>
                <w:color w:val="auto"/>
              </w:rPr>
            </w:pPr>
            <w:r>
              <w:rPr>
                <w:rFonts w:ascii="Courier New" w:cs="Courier New" w:eastAsia="Courier New" w:hAnsi="Courier New"/>
                <w:sz w:val="14"/>
                <w:szCs w:val="14"/>
                <w:color w:val="auto"/>
              </w:rPr>
              <w:t>PAID-IN</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RESTRICTED</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LOSS ON</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RETAINED</w:t>
            </w:r>
          </w:p>
        </w:tc>
        <w:tc>
          <w:tcPr>
            <w:tcW w:w="1440" w:type="dxa"/>
            <w:vAlign w:val="bottom"/>
          </w:tcPr>
          <w:p>
            <w:pPr>
              <w:ind w:left="160"/>
              <w:spacing w:after="0"/>
              <w:rPr>
                <w:sz w:val="20"/>
                <w:szCs w:val="20"/>
                <w:color w:val="auto"/>
              </w:rPr>
            </w:pPr>
            <w:r>
              <w:rPr>
                <w:rFonts w:ascii="Courier New" w:cs="Courier New" w:eastAsia="Courier New" w:hAnsi="Courier New"/>
                <w:sz w:val="14"/>
                <w:szCs w:val="14"/>
                <w:color w:val="auto"/>
              </w:rPr>
              <w:t>TREASURY</w:t>
            </w:r>
          </w:p>
        </w:tc>
      </w:tr>
      <w:tr>
        <w:trPr>
          <w:trHeight w:val="164"/>
        </w:trPr>
        <w:tc>
          <w:tcPr>
            <w:tcW w:w="3300" w:type="dxa"/>
            <w:vAlign w:val="bottom"/>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1200" w:type="dxa"/>
            <w:vAlign w:val="bottom"/>
          </w:tcPr>
          <w:p>
            <w:pPr>
              <w:ind w:left="460"/>
              <w:spacing w:after="0"/>
              <w:rPr>
                <w:sz w:val="20"/>
                <w:szCs w:val="20"/>
                <w:color w:val="auto"/>
              </w:rPr>
            </w:pPr>
            <w:r>
              <w:rPr>
                <w:rFonts w:ascii="Courier New" w:cs="Courier New" w:eastAsia="Courier New" w:hAnsi="Courier New"/>
                <w:sz w:val="14"/>
                <w:szCs w:val="14"/>
                <w:color w:val="auto"/>
              </w:rPr>
              <w:t>SHARES</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AMOUNT</w:t>
            </w:r>
          </w:p>
        </w:tc>
        <w:tc>
          <w:tcPr>
            <w:tcW w:w="900" w:type="dxa"/>
            <w:vAlign w:val="bottom"/>
          </w:tcPr>
          <w:p>
            <w:pPr>
              <w:ind w:left="200"/>
              <w:spacing w:after="0"/>
              <w:rPr>
                <w:sz w:val="20"/>
                <w:szCs w:val="20"/>
                <w:color w:val="auto"/>
              </w:rPr>
            </w:pPr>
            <w:r>
              <w:rPr>
                <w:rFonts w:ascii="Courier New" w:cs="Courier New" w:eastAsia="Courier New" w:hAnsi="Courier New"/>
                <w:sz w:val="14"/>
                <w:szCs w:val="14"/>
                <w:color w:val="auto"/>
              </w:rPr>
              <w:t>CAPITAL</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INVESTMENTS</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EARNINGS</w:t>
            </w:r>
          </w:p>
        </w:tc>
        <w:tc>
          <w:tcPr>
            <w:tcW w:w="1440" w:type="dxa"/>
            <w:vAlign w:val="bottom"/>
          </w:tcPr>
          <w:p>
            <w:pPr>
              <w:ind w:left="340"/>
              <w:spacing w:after="0"/>
              <w:rPr>
                <w:sz w:val="20"/>
                <w:szCs w:val="20"/>
                <w:color w:val="auto"/>
              </w:rPr>
            </w:pPr>
            <w:r>
              <w:rPr>
                <w:rFonts w:ascii="Courier New" w:cs="Courier New" w:eastAsia="Courier New" w:hAnsi="Courier New"/>
                <w:sz w:val="14"/>
                <w:szCs w:val="14"/>
                <w:color w:val="auto"/>
                <w:w w:val="98"/>
              </w:rPr>
              <w:t>STOCK   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Courier New" w:cs="Courier New" w:eastAsia="Courier New" w:hAnsi="Courier New"/>
                <w:sz w:val="14"/>
                <w:szCs w:val="14"/>
                <w:color w:val="auto"/>
              </w:rPr>
              <w:t>BALANCE AT DECEMBER 31, 1996</w:t>
            </w: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21,047,757</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$10,524</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$68,621</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$40,784</w:t>
            </w:r>
          </w:p>
        </w:tc>
        <w:tc>
          <w:tcPr>
            <w:tcW w:w="5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$119,929</w:t>
            </w:r>
          </w:p>
        </w:tc>
      </w:tr>
      <w:tr>
        <w:trPr>
          <w:trHeight w:val="164"/>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18,357</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18,357</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Issuance from public offering</w:t>
            </w: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4,500,000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2,250</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82,915</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85,165</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Contribution to 401(k) plan</w:t>
            </w: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25,469</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428</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441</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Issuances from exercise of stock options</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4"/>
        </w:trPr>
        <w:tc>
          <w:tcPr>
            <w:tcW w:w="3460" w:type="dxa"/>
            <w:vAlign w:val="bottom"/>
          </w:tcPr>
          <w:p>
            <w:pPr>
              <w:ind w:left="340"/>
              <w:spacing w:after="0"/>
              <w:rPr>
                <w:sz w:val="20"/>
                <w:szCs w:val="20"/>
                <w:color w:val="auto"/>
              </w:rPr>
            </w:pPr>
            <w:r>
              <w:rPr>
                <w:rFonts w:ascii="Courier New" w:cs="Courier New" w:eastAsia="Courier New" w:hAnsi="Courier New"/>
                <w:sz w:val="14"/>
                <w:szCs w:val="14"/>
                <w:color w:val="auto"/>
              </w:rPr>
              <w:t>and employee stock purchase plan</w:t>
            </w: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218,215</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109</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1,702</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1,811</w:t>
            </w:r>
          </w:p>
        </w:tc>
      </w:tr>
      <w:tr>
        <w:trPr>
          <w:trHeight w:val="329"/>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Tax benefit from exercise of stock options</w:t>
            </w:r>
          </w:p>
        </w:tc>
        <w:tc>
          <w:tcPr>
            <w:tcW w:w="900" w:type="dxa"/>
            <w:vAlign w:val="bottom"/>
          </w:tcPr>
          <w:p>
            <w:pPr>
              <w:spacing w:after="0"/>
              <w:rPr>
                <w:sz w:val="24"/>
                <w:szCs w:val="2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713</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713</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Issuances for acquisitions</w:t>
            </w: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112,481</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56</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1,371</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1,427</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Issuances of restricted shares of</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4"/>
        </w:trPr>
        <w:tc>
          <w:tcPr>
            <w:tcW w:w="346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240,000</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120</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3,888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(4,008)</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460" w:type="dxa"/>
            <w:vAlign w:val="bottom"/>
          </w:tcPr>
          <w:p>
            <w:pPr>
              <w:spacing w:after="0"/>
              <w:rPr>
                <w:sz w:val="20"/>
                <w:szCs w:val="20"/>
                <w:color w:val="auto"/>
              </w:rPr>
            </w:pPr>
            <w:r>
              <w:rPr>
                <w:rFonts w:ascii="Courier New" w:cs="Courier New" w:eastAsia="Courier New" w:hAnsi="Courier New"/>
                <w:sz w:val="14"/>
                <w:szCs w:val="14"/>
                <w:color w:val="auto"/>
              </w:rPr>
              <w:t>Amortization of unearned compensation</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172</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Common stock dividends,</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4"/>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$0.09 per share</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(2,292)</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(2,292)</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Dividends on 6.5% preferred stock</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4"/>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of subsidiary</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(125)</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Courier New" w:cs="Courier New" w:eastAsia="Courier New" w:hAnsi="Courier New"/>
                <w:sz w:val="14"/>
                <w:szCs w:val="14"/>
                <w:color w:val="auto"/>
              </w:rPr>
              <w:t>BALANCE AT DECEMBER 31, 1997</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26,143,922</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13,072</w:t>
            </w: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159,638</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(3,836)</w:t>
            </w:r>
          </w:p>
        </w:tc>
        <w:tc>
          <w:tcPr>
            <w:tcW w:w="8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56,724</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225,598</w:t>
            </w:r>
          </w:p>
        </w:tc>
      </w:tr>
      <w:tr>
        <w:trPr>
          <w:trHeight w:val="164"/>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25,191</w:t>
            </w:r>
          </w:p>
        </w:tc>
        <w:tc>
          <w:tcPr>
            <w:tcW w:w="7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25,191</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Changes in value of available-for-sale</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4"/>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securities, net of income taxes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(2,962)</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(2,962)</w:t>
            </w:r>
          </w:p>
        </w:tc>
      </w:tr>
      <w:tr>
        <w:trPr>
          <w:trHeight w:val="164"/>
        </w:trPr>
        <w:tc>
          <w:tcPr>
            <w:tcW w:w="3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Comprehensive income (Note 1)</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22,229</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Contribution to 401(k) plan</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42,805</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w:t>
            </w: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749</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770</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Issuances from exercise of stock options</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4"/>
        </w:trPr>
        <w:tc>
          <w:tcPr>
            <w:tcW w:w="3460" w:type="dxa"/>
            <w:vAlign w:val="bottom"/>
          </w:tcPr>
          <w:p>
            <w:pPr>
              <w:ind w:left="340"/>
              <w:spacing w:after="0"/>
              <w:rPr>
                <w:sz w:val="20"/>
                <w:szCs w:val="20"/>
                <w:color w:val="auto"/>
              </w:rPr>
            </w:pPr>
            <w:r>
              <w:rPr>
                <w:rFonts w:ascii="Courier New" w:cs="Courier New" w:eastAsia="Courier New" w:hAnsi="Courier New"/>
                <w:sz w:val="14"/>
                <w:szCs w:val="14"/>
                <w:color w:val="auto"/>
              </w:rPr>
              <w:t>and employee stock purchase plan</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369,796</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185</w:t>
            </w: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3,179</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3,364</w:t>
            </w:r>
          </w:p>
        </w:tc>
      </w:tr>
      <w:tr>
        <w:trPr>
          <w:trHeight w:val="329"/>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rPr>
              <w:t>Tax benefit from exercise of stock options</w:t>
            </w:r>
          </w:p>
        </w:tc>
        <w:tc>
          <w:tcPr>
            <w:tcW w:w="860" w:type="dxa"/>
            <w:vAlign w:val="bottom"/>
          </w:tcPr>
          <w:p>
            <w:pPr>
              <w:spacing w:after="0"/>
              <w:rPr>
                <w:sz w:val="24"/>
                <w:szCs w:val="24"/>
                <w:color w:val="auto"/>
              </w:rPr>
            </w:pP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999</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999</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Issuances for acquisitions</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1,397,041</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699</w:t>
            </w: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23,232</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23,931</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Issuances of restricted shares of</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4"/>
        </w:trPr>
        <w:tc>
          <w:tcPr>
            <w:tcW w:w="346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127,500</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63</w:t>
            </w: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2,188</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(2,251)</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Forfeitures of restricted shares</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4"/>
        </w:trPr>
        <w:tc>
          <w:tcPr>
            <w:tcW w:w="3460" w:type="dxa"/>
            <w:vAlign w:val="bottom"/>
          </w:tcPr>
          <w:p>
            <w:pPr>
              <w:ind w:left="440"/>
              <w:spacing w:after="0"/>
              <w:rPr>
                <w:sz w:val="20"/>
                <w:szCs w:val="20"/>
                <w:color w:val="auto"/>
              </w:rPr>
            </w:pPr>
            <w:r>
              <w:rPr>
                <w:rFonts w:ascii="Courier New" w:cs="Courier New" w:eastAsia="Courier New" w:hAnsi="Courier New"/>
                <w:sz w:val="14"/>
                <w:szCs w:val="14"/>
                <w:color w:val="auto"/>
              </w:rPr>
              <w:t>of common stock</w:t>
            </w:r>
          </w:p>
        </w:tc>
        <w:tc>
          <w:tcPr>
            <w:tcW w:w="11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(48,750)</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(760)</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784</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Amortization of unearned compensation</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252</w:t>
            </w: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252</w:t>
            </w:r>
          </w:p>
        </w:tc>
      </w:tr>
      <w:tr>
        <w:trPr>
          <w:trHeight w:val="164"/>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Common stock dividends,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4"/>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$0.10 per share</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(2,575)</w:t>
            </w:r>
          </w:p>
        </w:tc>
        <w:tc>
          <w:tcPr>
            <w:tcW w:w="7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Courier New" w:cs="Courier New" w:eastAsia="Courier New" w:hAnsi="Courier New"/>
                <w:sz w:val="14"/>
                <w:szCs w:val="14"/>
                <w:color w:val="auto"/>
              </w:rPr>
              <w:t>BALANCE AT DECEMBER 31, 1998</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28,032,314</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14,016</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189,225</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(5,051)</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(2,962)</w:t>
            </w:r>
          </w:p>
        </w:tc>
        <w:tc>
          <w:tcPr>
            <w:tcW w:w="8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79,340</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274,568</w:t>
            </w:r>
          </w:p>
        </w:tc>
      </w:tr>
      <w:tr>
        <w:trPr>
          <w:trHeight w:val="164"/>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29,481</w:t>
            </w:r>
          </w:p>
        </w:tc>
        <w:tc>
          <w:tcPr>
            <w:tcW w:w="106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29,481</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Changes in value of available-for-</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4"/>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sale securities, net of income taxes</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2,293</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2,293</w:t>
            </w:r>
          </w:p>
        </w:tc>
      </w:tr>
      <w:tr>
        <w:trPr>
          <w:trHeight w:val="164"/>
        </w:trPr>
        <w:tc>
          <w:tcPr>
            <w:tcW w:w="3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Comprehensive income (Note 1)</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31,774</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Contribution to 401(k) plan</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79,202</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804</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844</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Issuances from exercise of stock options</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4"/>
        </w:trPr>
        <w:tc>
          <w:tcPr>
            <w:tcW w:w="3460" w:type="dxa"/>
            <w:vAlign w:val="bottom"/>
          </w:tcPr>
          <w:p>
            <w:pPr>
              <w:ind w:left="340"/>
              <w:spacing w:after="0"/>
              <w:rPr>
                <w:sz w:val="20"/>
                <w:szCs w:val="20"/>
                <w:color w:val="auto"/>
              </w:rPr>
            </w:pPr>
            <w:r>
              <w:rPr>
                <w:rFonts w:ascii="Courier New" w:cs="Courier New" w:eastAsia="Courier New" w:hAnsi="Courier New"/>
                <w:sz w:val="14"/>
                <w:szCs w:val="14"/>
                <w:color w:val="auto"/>
              </w:rPr>
              <w:t>and employee stock purchase plan</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206,192</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103</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1,391</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1,494</w:t>
            </w:r>
          </w:p>
        </w:tc>
      </w:tr>
      <w:tr>
        <w:trPr>
          <w:trHeight w:val="329"/>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rPr>
              <w:t>Tax benefit from exercise of stock options</w:t>
            </w:r>
          </w:p>
        </w:tc>
        <w:tc>
          <w:tcPr>
            <w:tcW w:w="820" w:type="dxa"/>
            <w:vAlign w:val="bottom"/>
          </w:tcPr>
          <w:p>
            <w:pPr>
              <w:spacing w:after="0"/>
              <w:rPr>
                <w:sz w:val="24"/>
                <w:szCs w:val="2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508</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508</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Issuances for acquisitions</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842,569</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421</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8,929</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9,350</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Issuances of restricted shares of</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4"/>
        </w:trPr>
        <w:tc>
          <w:tcPr>
            <w:tcW w:w="346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93,000</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47</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1,249</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(1,296)</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460" w:type="dxa"/>
            <w:vAlign w:val="bottom"/>
          </w:tcPr>
          <w:p>
            <w:pPr>
              <w:spacing w:after="0"/>
              <w:rPr>
                <w:sz w:val="20"/>
                <w:szCs w:val="20"/>
                <w:color w:val="auto"/>
              </w:rPr>
            </w:pPr>
            <w:r>
              <w:rPr>
                <w:rFonts w:ascii="Courier New" w:cs="Courier New" w:eastAsia="Courier New" w:hAnsi="Courier New"/>
                <w:sz w:val="14"/>
                <w:szCs w:val="14"/>
                <w:color w:val="auto"/>
              </w:rPr>
              <w:t>Amortization of unearned compensation</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349</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349</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Common stock dividends,</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4"/>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$0.10 per share</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(2,850)</w:t>
            </w: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(2,850)</w:t>
            </w:r>
          </w:p>
        </w:tc>
      </w:tr>
      <w:tr>
        <w:trPr>
          <w:trHeight w:val="3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Acquisition of common stock</w:t>
            </w:r>
          </w:p>
        </w:tc>
        <w:tc>
          <w:tcPr>
            <w:tcW w:w="11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(1,346,200)</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(14,321)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(14,321)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Courier New" w:cs="Courier New" w:eastAsia="Courier New" w:hAnsi="Courier New"/>
                <w:sz w:val="14"/>
                <w:szCs w:val="14"/>
                <w:color w:val="auto"/>
              </w:rPr>
              <w:t>BALANCE AT DECEMBER 31, 1999</w:t>
            </w:r>
          </w:p>
        </w:tc>
        <w:tc>
          <w:tcPr>
            <w:tcW w:w="15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27,907,077</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$14,627</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$202,106</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$(5,998)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c>
          <w:tcPr>
            <w:tcW w:w="8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$105,971</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$(14,321)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$301,716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right="4520"/>
        <w:spacing w:after="0" w:line="251" w:lineRule="auto"/>
        <w:rPr>
          <w:sz w:val="20"/>
          <w:szCs w:val="20"/>
          <w:color w:val="auto"/>
        </w:rPr>
      </w:pPr>
      <w:r>
        <w:rPr>
          <w:rFonts w:ascii="Courier New" w:cs="Courier New" w:eastAsia="Courier New" w:hAnsi="Courier New"/>
          <w:sz w:val="14"/>
          <w:szCs w:val="14"/>
          <w:color w:val="auto"/>
        </w:rPr>
        <w:t>THE ACCOMPANYING NOTES TO CONSOLIDATED FINANCIAL STATEMENTS ARE AN INTEGRAL PART OF THESE STATEMENTS.</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1360"/>
          </w:cols>
          <w:pgMar w:left="300" w:top="448" w:right="239" w:bottom="384" w:gutter="0" w:footer="0" w:header="0"/>
        </w:sectPr>
      </w:pPr>
    </w:p>
    <w:bookmarkStart w:id="22" w:name="page23"/>
    <w:bookmarkEnd w:id="22"/>
    <w:p>
      <w:pPr>
        <w:ind w:left="2220"/>
        <w:spacing w:after="0"/>
        <w:rPr>
          <w:sz w:val="20"/>
          <w:szCs w:val="20"/>
          <w:color w:val="auto"/>
        </w:rPr>
      </w:pPr>
      <w:r>
        <w:rPr>
          <w:rFonts w:ascii="Courier New" w:cs="Courier New" w:eastAsia="Courier New" w:hAnsi="Courier New"/>
          <w:sz w:val="14"/>
          <w:szCs w:val="14"/>
          <w:color w:val="auto"/>
        </w:rPr>
        <w:t>WATSCO, INC. AND SUBSIDIARIES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ind w:left="1800"/>
              <w:spacing w:after="0"/>
              <w:rPr>
                <w:sz w:val="20"/>
                <w:szCs w:val="20"/>
                <w:color w:val="auto"/>
              </w:rPr>
            </w:pPr>
            <w:r>
              <w:rPr>
                <w:rFonts w:ascii="Courier New" w:cs="Courier New" w:eastAsia="Courier New" w:hAnsi="Courier New"/>
                <w:sz w:val="14"/>
                <w:szCs w:val="14"/>
                <w:color w:val="auto"/>
              </w:rPr>
              <w:t>CONSOLIDATED STATEMENTS OF CASH FLOWS</w:t>
            </w:r>
          </w:p>
        </w:tc>
        <w:tc>
          <w:tcPr>
            <w:tcW w:w="1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657"/>
        </w:trPr>
        <w:tc>
          <w:tcPr>
            <w:tcW w:w="526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4"/>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2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1999</w:t>
            </w:r>
          </w:p>
        </w:tc>
        <w:tc>
          <w:tcPr>
            <w:tcW w:w="15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4"/>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29,481</w:t>
            </w:r>
          </w:p>
        </w:tc>
        <w:tc>
          <w:tcPr>
            <w:tcW w:w="14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  26,972</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19,368</w:t>
            </w:r>
          </w:p>
        </w:tc>
      </w:tr>
      <w:tr>
        <w:trPr>
          <w:trHeight w:val="164"/>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Adjustments to reconcile income from</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 to net cash</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provided by (used in) operating activities</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of continuing operations:</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1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11,240</w:t>
            </w:r>
          </w:p>
        </w:tc>
        <w:tc>
          <w:tcPr>
            <w:tcW w:w="14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8,981</w:t>
            </w:r>
          </w:p>
        </w:tc>
        <w:tc>
          <w:tcPr>
            <w:tcW w:w="46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5,297</w:t>
            </w:r>
          </w:p>
        </w:tc>
      </w:tr>
      <w:tr>
        <w:trPr>
          <w:trHeight w:val="164"/>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Provision for doubtful accounts</w:t>
            </w:r>
          </w:p>
        </w:tc>
        <w:tc>
          <w:tcPr>
            <w:tcW w:w="1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3,389</w:t>
            </w:r>
          </w:p>
        </w:tc>
        <w:tc>
          <w:tcPr>
            <w:tcW w:w="14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3,567</w:t>
            </w:r>
          </w:p>
        </w:tc>
        <w:tc>
          <w:tcPr>
            <w:tcW w:w="46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1,481</w:t>
            </w:r>
          </w:p>
        </w:tc>
      </w:tr>
      <w:tr>
        <w:trPr>
          <w:trHeight w:val="164"/>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Net investment losses (gains)</w:t>
            </w:r>
          </w:p>
        </w:tc>
        <w:tc>
          <w:tcPr>
            <w:tcW w:w="1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(920)</w:t>
            </w:r>
          </w:p>
        </w:tc>
        <w:tc>
          <w:tcPr>
            <w:tcW w:w="14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330</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(1,294)</w:t>
            </w:r>
          </w:p>
        </w:tc>
      </w:tr>
      <w:tr>
        <w:trPr>
          <w:trHeight w:val="164"/>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1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1,120</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(320)</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(725)</w:t>
            </w:r>
          </w:p>
        </w:tc>
      </w:tr>
      <w:tr>
        <w:trPr>
          <w:trHeight w:val="164"/>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Non-cash stock contribution to 40l(k) plan</w:t>
            </w:r>
          </w:p>
        </w:tc>
        <w:tc>
          <w:tcPr>
            <w:tcW w:w="1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844</w:t>
            </w:r>
          </w:p>
        </w:tc>
        <w:tc>
          <w:tcPr>
            <w:tcW w:w="14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770</w:t>
            </w:r>
          </w:p>
        </w:tc>
        <w:tc>
          <w:tcPr>
            <w:tcW w:w="46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441</w:t>
            </w:r>
          </w:p>
        </w:tc>
      </w:tr>
      <w:tr>
        <w:trPr>
          <w:trHeight w:val="164"/>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net of effects of acquisitions:</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w:t>
            </w:r>
          </w:p>
        </w:tc>
        <w:tc>
          <w:tcPr>
            <w:tcW w:w="1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(9,989)</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(22,417)</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(10,873)</w:t>
            </w:r>
          </w:p>
        </w:tc>
      </w:tr>
      <w:tr>
        <w:trPr>
          <w:trHeight w:val="164"/>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1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(11,354)</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(12,285)</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(30,402)</w:t>
            </w:r>
          </w:p>
        </w:tc>
      </w:tr>
      <w:tr>
        <w:trPr>
          <w:trHeight w:val="164"/>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 and accrued liabilities</w:t>
            </w:r>
          </w:p>
        </w:tc>
        <w:tc>
          <w:tcPr>
            <w:tcW w:w="1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24,500</w:t>
            </w:r>
          </w:p>
        </w:tc>
        <w:tc>
          <w:tcPr>
            <w:tcW w:w="14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4,698</w:t>
            </w:r>
          </w:p>
        </w:tc>
        <w:tc>
          <w:tcPr>
            <w:tcW w:w="46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2,081</w:t>
            </w:r>
          </w:p>
        </w:tc>
      </w:tr>
      <w:tr>
        <w:trPr>
          <w:trHeight w:val="164"/>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Other, net</w:t>
            </w:r>
          </w:p>
        </w:tc>
        <w:tc>
          <w:tcPr>
            <w:tcW w:w="1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(6,417)</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(1,708)</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(4,183)</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provided by (used in) operating activities</w:t>
      </w:r>
    </w:p>
    <w:p>
      <w:pPr>
        <w:spacing w:after="0" w:line="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580" w:type="dxa"/>
            <w:vAlign w:val="bottom"/>
          </w:tcPr>
          <w:p>
            <w:pPr>
              <w:spacing w:after="0"/>
              <w:rPr>
                <w:sz w:val="20"/>
                <w:szCs w:val="20"/>
                <w:color w:val="auto"/>
              </w:rPr>
            </w:pPr>
            <w:r>
              <w:rPr>
                <w:rFonts w:ascii="Courier New" w:cs="Courier New" w:eastAsia="Courier New" w:hAnsi="Courier New"/>
                <w:sz w:val="14"/>
                <w:szCs w:val="14"/>
                <w:color w:val="auto"/>
              </w:rPr>
              <w:t>of continuing operations</w:t>
            </w:r>
          </w:p>
        </w:tc>
        <w:tc>
          <w:tcPr>
            <w:tcW w:w="25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41,894</w:t>
            </w:r>
          </w:p>
        </w:tc>
        <w:tc>
          <w:tcPr>
            <w:tcW w:w="14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8,588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(18,809)</w:t>
            </w:r>
          </w:p>
        </w:tc>
      </w:tr>
    </w:tbl>
    <w:p>
      <w:pPr>
        <w:spacing w:after="0" w:line="4"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20"/>
                <w:szCs w:val="20"/>
                <w:color w:val="auto"/>
              </w:rPr>
            </w:pPr>
            <w:r>
              <w:rPr>
                <w:rFonts w:ascii="Courier New" w:cs="Courier New" w:eastAsia="Courier New" w:hAnsi="Courier New"/>
                <w:sz w:val="14"/>
                <w:szCs w:val="14"/>
                <w:color w:val="auto"/>
              </w:rPr>
              <w:t>Business acquisitions, net of</w:t>
            </w:r>
          </w:p>
        </w:tc>
        <w:tc>
          <w:tcPr>
            <w:tcW w:w="2400" w:type="dxa"/>
            <w:vAlign w:val="bottom"/>
          </w:tcPr>
          <w:p>
            <w:pPr>
              <w:ind w:left="60"/>
              <w:spacing w:after="0"/>
              <w:rPr>
                <w:sz w:val="20"/>
                <w:szCs w:val="20"/>
                <w:color w:val="auto"/>
              </w:rPr>
            </w:pPr>
            <w:r>
              <w:rPr>
                <w:rFonts w:ascii="Courier New" w:cs="Courier New" w:eastAsia="Courier New" w:hAnsi="Courier New"/>
                <w:sz w:val="14"/>
                <w:szCs w:val="14"/>
                <w:color w:val="auto"/>
              </w:rPr>
              <w:t>cash acquired</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(26,440)</w:t>
            </w:r>
          </w:p>
        </w:tc>
        <w:tc>
          <w:tcPr>
            <w:tcW w:w="14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(24,944)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(120,033)</w:t>
            </w:r>
          </w:p>
        </w:tc>
      </w:tr>
      <w:tr>
        <w:trPr>
          <w:trHeight w:val="164"/>
        </w:trPr>
        <w:tc>
          <w:tcPr>
            <w:tcW w:w="25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400" w:type="dxa"/>
            <w:vAlign w:val="bottom"/>
          </w:tcPr>
          <w:p>
            <w:pPr>
              <w:spacing w:after="0"/>
              <w:rPr>
                <w:sz w:val="14"/>
                <w:szCs w:val="14"/>
                <w:color w:val="auto"/>
              </w:rPr>
            </w:pP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(6,236)</w:t>
            </w:r>
          </w:p>
        </w:tc>
        <w:tc>
          <w:tcPr>
            <w:tcW w:w="14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(9,987)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(7,254)</w:t>
            </w:r>
          </w:p>
        </w:tc>
      </w:tr>
      <w:tr>
        <w:trPr>
          <w:trHeight w:val="164"/>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Net purchases of marketable securities</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(1,042)</w:t>
            </w:r>
          </w:p>
        </w:tc>
        <w:tc>
          <w:tcPr>
            <w:tcW w:w="14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(1,007)</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proceeds from the sale of</w:t>
            </w:r>
          </w:p>
        </w:tc>
        <w:tc>
          <w:tcPr>
            <w:tcW w:w="2400" w:type="dxa"/>
            <w:vAlign w:val="bottom"/>
          </w:tcPr>
          <w:p>
            <w:pPr>
              <w:ind w:left="60"/>
              <w:spacing w:after="0"/>
              <w:rPr>
                <w:sz w:val="20"/>
                <w:szCs w:val="20"/>
                <w:color w:val="auto"/>
              </w:rPr>
            </w:pPr>
            <w:r>
              <w:rPr>
                <w:rFonts w:ascii="Courier New" w:cs="Courier New" w:eastAsia="Courier New" w:hAnsi="Courier New"/>
                <w:sz w:val="14"/>
                <w:szCs w:val="14"/>
                <w:color w:val="auto"/>
              </w:rPr>
              <w:t>marketable securities</w:t>
            </w:r>
          </w:p>
        </w:tc>
        <w:tc>
          <w:tcPr>
            <w:tcW w:w="16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17,597</w:t>
            </w:r>
          </w:p>
        </w:tc>
        <w:tc>
          <w:tcPr>
            <w:tcW w:w="14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2,135</w:t>
            </w:r>
          </w:p>
        </w:tc>
      </w:tr>
      <w:tr>
        <w:trPr>
          <w:trHeight w:val="164"/>
        </w:trPr>
        <w:tc>
          <w:tcPr>
            <w:tcW w:w="252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2400" w:type="dxa"/>
            <w:vAlign w:val="bottom"/>
          </w:tcPr>
          <w:p>
            <w:pPr>
              <w:spacing w:after="0"/>
              <w:rPr>
                <w:sz w:val="14"/>
                <w:szCs w:val="14"/>
                <w:color w:val="auto"/>
              </w:rPr>
            </w:pPr>
          </w:p>
        </w:tc>
        <w:tc>
          <w:tcPr>
            <w:tcW w:w="16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4,250</w:t>
            </w:r>
          </w:p>
        </w:tc>
        <w:tc>
          <w:tcPr>
            <w:tcW w:w="14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(403)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(2,750)</w:t>
            </w:r>
          </w:p>
        </w:tc>
      </w:tr>
    </w:tbl>
    <w:p>
      <w:pPr>
        <w:spacing w:after="0" w:line="4"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used in investing activities</w:t>
      </w:r>
    </w:p>
    <w:p>
      <w:pPr>
        <w:spacing w:after="0" w:line="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540" w:type="dxa"/>
            <w:vAlign w:val="bottom"/>
          </w:tcPr>
          <w:p>
            <w:pPr>
              <w:spacing w:after="0"/>
              <w:rPr>
                <w:sz w:val="20"/>
                <w:szCs w:val="20"/>
                <w:color w:val="auto"/>
              </w:rPr>
            </w:pPr>
            <w:r>
              <w:rPr>
                <w:rFonts w:ascii="Courier New" w:cs="Courier New" w:eastAsia="Courier New" w:hAnsi="Courier New"/>
                <w:sz w:val="14"/>
                <w:szCs w:val="14"/>
                <w:color w:val="auto"/>
              </w:rPr>
              <w:t>of continuing operations</w:t>
            </w:r>
          </w:p>
        </w:tc>
        <w:tc>
          <w:tcPr>
            <w:tcW w:w="25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(11,871)</w:t>
            </w:r>
          </w:p>
        </w:tc>
        <w:tc>
          <w:tcPr>
            <w:tcW w:w="14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(36,341)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(127,902)</w:t>
            </w:r>
          </w:p>
        </w:tc>
      </w:tr>
    </w:tbl>
    <w:p>
      <w:pPr>
        <w:spacing w:after="0" w:line="4"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borrowings (repayments) under revolving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credit agreement</w:t>
            </w:r>
          </w:p>
        </w:tc>
        <w:tc>
          <w:tcPr>
            <w:tcW w:w="17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(13,000)</w:t>
            </w:r>
          </w:p>
        </w:tc>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33,300</w:t>
            </w:r>
          </w:p>
        </w:tc>
        <w:tc>
          <w:tcPr>
            <w:tcW w:w="11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86,700</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repayments of bank and other debt</w:t>
            </w:r>
          </w:p>
        </w:tc>
        <w:tc>
          <w:tcPr>
            <w:tcW w:w="17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(1,111)</w:t>
            </w:r>
          </w:p>
        </w:tc>
        <w:tc>
          <w:tcPr>
            <w:tcW w:w="14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(6,360)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(13,776)</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proceeds from issuances of common stock</w:t>
            </w:r>
          </w:p>
        </w:tc>
        <w:tc>
          <w:tcPr>
            <w:tcW w:w="17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1,494</w:t>
            </w:r>
          </w:p>
        </w:tc>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3,364</w:t>
            </w:r>
          </w:p>
        </w:tc>
        <w:tc>
          <w:tcPr>
            <w:tcW w:w="11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86,976</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Payments to redeem preferred stock of subsidiaries</w:t>
            </w:r>
          </w:p>
        </w:tc>
        <w:tc>
          <w:tcPr>
            <w:tcW w:w="17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(4,413)</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Common stock dividends</w:t>
            </w:r>
          </w:p>
        </w:tc>
        <w:tc>
          <w:tcPr>
            <w:tcW w:w="17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(2,850)</w:t>
            </w:r>
          </w:p>
        </w:tc>
        <w:tc>
          <w:tcPr>
            <w:tcW w:w="14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(2,575)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(2,292)</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Subsidiary preferred stock dividends</w:t>
            </w:r>
          </w:p>
        </w:tc>
        <w:tc>
          <w:tcPr>
            <w:tcW w:w="17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Acquisition of common stock</w:t>
            </w:r>
          </w:p>
        </w:tc>
        <w:tc>
          <w:tcPr>
            <w:tcW w:w="17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(14,321)</w:t>
            </w:r>
          </w:p>
        </w:tc>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provided by (used in)  financing activities</w:t>
      </w:r>
    </w:p>
    <w:p>
      <w:pPr>
        <w:spacing w:after="0" w:line="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540" w:type="dxa"/>
            <w:vAlign w:val="bottom"/>
          </w:tcPr>
          <w:p>
            <w:pPr>
              <w:spacing w:after="0"/>
              <w:rPr>
                <w:sz w:val="20"/>
                <w:szCs w:val="20"/>
                <w:color w:val="auto"/>
              </w:rPr>
            </w:pPr>
            <w:r>
              <w:rPr>
                <w:rFonts w:ascii="Courier New" w:cs="Courier New" w:eastAsia="Courier New" w:hAnsi="Courier New"/>
                <w:sz w:val="14"/>
                <w:szCs w:val="14"/>
                <w:color w:val="auto"/>
              </w:rPr>
              <w:t>of continuing operations</w:t>
            </w:r>
          </w:p>
        </w:tc>
        <w:tc>
          <w:tcPr>
            <w:tcW w:w="26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(29,788)</w:t>
            </w:r>
          </w:p>
        </w:tc>
        <w:tc>
          <w:tcPr>
            <w:tcW w:w="14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27,729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153,070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cash used in discontinued operation</w:t>
            </w:r>
          </w:p>
        </w:tc>
        <w:tc>
          <w:tcPr>
            <w:tcW w:w="15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(1,939)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(1,982)</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15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235</w:t>
            </w:r>
          </w:p>
        </w:tc>
        <w:tc>
          <w:tcPr>
            <w:tcW w:w="1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(1,963)</w:t>
            </w: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4,377</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5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7,249</w:t>
            </w:r>
          </w:p>
        </w:tc>
        <w:tc>
          <w:tcPr>
            <w:tcW w:w="15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9,212</w:t>
            </w: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4,835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2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7,484</w:t>
            </w:r>
          </w:p>
        </w:tc>
        <w:tc>
          <w:tcPr>
            <w:tcW w:w="14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  7,249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   9,212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4"/>
          <w:szCs w:val="14"/>
          <w:color w:val="auto"/>
        </w:rPr>
        <w:t>THE ACCOMPANYING NOTES TO CONSOLIDATED FINANCIAL STATEMENTS ARE AN INTEGRAL PART OF THESE STATEMENTS.</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159"/>
          </w:cols>
          <w:pgMar w:left="300" w:top="612" w:right="1440" w:bottom="1440" w:gutter="0" w:footer="0" w:header="0"/>
        </w:sectPr>
      </w:pPr>
    </w:p>
    <w:bookmarkStart w:id="23" w:name="page24"/>
    <w:bookmarkEnd w:id="23"/>
    <w:p>
      <w:pPr>
        <w:ind w:left="2220"/>
        <w:spacing w:after="0"/>
        <w:rPr>
          <w:sz w:val="20"/>
          <w:szCs w:val="20"/>
          <w:color w:val="auto"/>
        </w:rPr>
      </w:pPr>
      <w:r>
        <w:rPr>
          <w:rFonts w:ascii="Courier New" w:cs="Courier New" w:eastAsia="Courier New" w:hAnsi="Courier New"/>
          <w:sz w:val="14"/>
          <w:szCs w:val="14"/>
          <w:color w:val="auto"/>
        </w:rPr>
        <w:t>WATSCO, INC. AND SUBSIDIARIES</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6"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(IN THOUSANDS, EXCEPT SHARE DATA)</w:t>
      </w:r>
    </w:p>
    <w:p>
      <w:pPr>
        <w:spacing w:after="0" w:line="170" w:lineRule="exact"/>
        <w:rPr>
          <w:sz w:val="20"/>
          <w:szCs w:val="20"/>
          <w:color w:val="auto"/>
        </w:rPr>
      </w:pPr>
    </w:p>
    <w:p>
      <w:pPr>
        <w:ind w:right="7079" w:firstLine="8"/>
        <w:spacing w:after="0" w:line="497" w:lineRule="auto"/>
        <w:tabs>
          <w:tab w:leader="none" w:pos="42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POLICIES Nature of Operations</w:t>
      </w:r>
    </w:p>
    <w:p>
      <w:pPr>
        <w:ind w:right="3319"/>
        <w:spacing w:after="0" w:line="249" w:lineRule="auto"/>
        <w:rPr>
          <w:sz w:val="20"/>
          <w:szCs w:val="20"/>
          <w:color w:val="auto"/>
        </w:rPr>
      </w:pPr>
      <w:r>
        <w:rPr>
          <w:rFonts w:ascii="Courier New" w:cs="Courier New" w:eastAsia="Courier New" w:hAnsi="Courier New"/>
          <w:sz w:val="14"/>
          <w:szCs w:val="14"/>
          <w:color w:val="auto"/>
        </w:rPr>
        <w:t>Watsco, Inc. and its subsidiaries (collectively the "Company" or "Watsco") is the largest distributor of air conditioning, heating and refrigeration equipment and related parts and supplies in the United States. The Company operates from 315 locations in 30 states.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consolidated financial statements include the accounts of Watsco and its wholly owned subsidiaries. All significant intercompany accounts and transactions have been eliminated. As discussed in Note 3, amounts have been restated in 1998 and 1997 to include Dunhill Staffing Systems, Inc. ("Dunhill") as continuing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4"/>
          <w:szCs w:val="14"/>
          <w:color w:val="auto"/>
        </w:rPr>
        <w:t>The Company recognizes revenue upon shipment of products or upon delivery of services.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0" w:lineRule="exact"/>
        <w:rPr>
          <w:sz w:val="20"/>
          <w:szCs w:val="20"/>
          <w:color w:val="auto"/>
        </w:rPr>
      </w:pPr>
    </w:p>
    <w:p>
      <w:pPr>
        <w:ind w:right="3479"/>
        <w:spacing w:after="0" w:line="251" w:lineRule="auto"/>
        <w:rPr>
          <w:sz w:val="20"/>
          <w:szCs w:val="20"/>
          <w:color w:val="auto"/>
        </w:rPr>
      </w:pPr>
      <w:r>
        <w:rPr>
          <w:rFonts w:ascii="Courier New" w:cs="Courier New" w:eastAsia="Courier New" w:hAnsi="Courier New"/>
          <w:sz w:val="14"/>
          <w:szCs w:val="14"/>
          <w:color w:val="auto"/>
        </w:rPr>
        <w:t>The Company considers all highly liquid instruments purchased with an original maturity of three months or less to be cash equivalents.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0" w:lineRule="exact"/>
        <w:rPr>
          <w:sz w:val="20"/>
          <w:szCs w:val="20"/>
          <w:color w:val="auto"/>
        </w:rPr>
      </w:pPr>
    </w:p>
    <w:p>
      <w:pPr>
        <w:ind w:right="3479"/>
        <w:spacing w:after="0" w:line="251" w:lineRule="auto"/>
        <w:rPr>
          <w:sz w:val="20"/>
          <w:szCs w:val="20"/>
          <w:color w:val="auto"/>
        </w:rPr>
      </w:pPr>
      <w:r>
        <w:rPr>
          <w:rFonts w:ascii="Courier New" w:cs="Courier New" w:eastAsia="Courier New" w:hAnsi="Courier New"/>
          <w:sz w:val="14"/>
          <w:szCs w:val="14"/>
          <w:color w:val="auto"/>
        </w:rPr>
        <w:t>The Company's inventories are stated at the lower of cost (first-in, first-out method) or market.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0"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4"/>
          <w:szCs w:val="14"/>
          <w:color w:val="auto"/>
        </w:rPr>
        <w:t>Property, plant and equipment are stated at cost. Depreciation of property, plant and equipment is provided on the straight-line method. Buildings and improvements are being depreciated over estimated useful lives ranging from 2-40 years. Estimated useful lives for other depreciable assets range from 3-12 years.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Intangible assets, net of accumulated amortization of $9,987 and $6,618 at December 31, 1999 and 1998, respectively, consist of goodwill arising from the excess of the cost of acquired businesses over the fair value of their net assets. Goodwill is amortized on a straight-line basis over 40 years. The Company assesses the recoverability of goodwill by determining whether the amortization of the balance over its remaining life can be recovered through undiscounted future operating cash flows of the acquired operation. The amount of goodwill impairment, if any, is measured based on projected discounted future operating cash flows using a discount rate reflecting the Company's average cost of funds. The assessment of the recoverability of goodwill will be impacted if estimated future operating cash flows are not achieved. Amortization expense related to goodwill amounted to $3,257, $2,611, and $1,291 in 1999, 1998 and 1997,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Long-Lived Assets</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The Company accounts for long-lived assets in accordance with the provisions of Statement of Financial Accounting Sstandards ("SFAS") SFAS No. 121, "Accounting for the Impairment of Long-Lived Assets and for Long-Lived Assets to Be Disposed Of." This Statement requires that long-lived assets and certain identifiable intangibles be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Securities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Investments in marketable equity securities of $1,197 and $13,165 at December 31, 1999 and 1998, respectively, are included in other assets and are classified as available-for-sale and are recorded at fair value with unrealized holding gains and losses, net of applicable income taxes, included as a separate component of shareholders' equity. At December 31, 1999 and 1998, the difference between cost and market was an unrealized holding loss of $669 and $2,962, net of income taxes of $392 and $1,740, respectively. Dividend and interest income are recognized when earned.</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159"/>
          </w:cols>
          <w:pgMar w:left="300" w:top="6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Derivative Financial Instruments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enters into interest rate swap agreements to reduce its exposure to market risks from changing interest rates. Under the swap agreements, the Company agrees to exchange, at specified intervals, the difference between fixed and variable interest amounts calculated by reference to a notional principal amount. Any differences paid or received on interest rate swap agreements are recognized as adjustments to interest expense over the life of each swap, thereby adjusting the effective interest rate on the underlying obligation. The Company does not hold or issue such financial instruments for trading purposes.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0" w:lineRule="exact"/>
        <w:rPr>
          <w:sz w:val="20"/>
          <w:szCs w:val="20"/>
          <w:color w:val="auto"/>
        </w:rPr>
      </w:pPr>
    </w:p>
    <w:p>
      <w:pPr>
        <w:ind w:right="3579"/>
        <w:spacing w:after="0" w:line="251" w:lineRule="auto"/>
        <w:rPr>
          <w:sz w:val="20"/>
          <w:szCs w:val="20"/>
          <w:color w:val="auto"/>
        </w:rPr>
      </w:pPr>
      <w:r>
        <w:rPr>
          <w:rFonts w:ascii="Courier New" w:cs="Courier New" w:eastAsia="Courier New" w:hAnsi="Courier New"/>
          <w:sz w:val="14"/>
          <w:szCs w:val="14"/>
          <w:color w:val="auto"/>
        </w:rPr>
        <w:t>Deferred tax assets and liabilities reflect the temporary differences between the financial statement and income tax bases of assets and liabilities.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As described in Note 7, the Company applies the intrinsic value-based method of accounting prescribed by Accounting Principles Board ("APB") Opinion No. 25, "Accounting for Stock Issued to Employees," and related interpretations, in accounting for its fixed plan stock options. As such, compensation expense would be recorded on the date of grant only if the current market price of the underlying stock exceeded the exercise price.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Basic earnings per share is computed by dividing net income, less subsidiary preferred stock dividends, by the total of the weighted average number of shares outstanding. Subsidiary preferred stock dividends were $125 in 1997. Diluted earnings per share additionally assumes any added dilution from common stock equivalents.</w:t>
      </w:r>
    </w:p>
    <w:p>
      <w:pPr>
        <w:spacing w:after="0" w:line="163"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4"/>
          <w:szCs w:val="14"/>
          <w:color w:val="auto"/>
        </w:rPr>
        <w:t>Shares used to calculate earnings per share (restated in 1998 and 1997 to reflect a three-for-two stock split effected on August 14, 1998) are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20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1999</w:t>
            </w:r>
          </w:p>
        </w:tc>
        <w:tc>
          <w:tcPr>
            <w:tcW w:w="15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9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364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16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28,498,683</w:t>
            </w:r>
          </w:p>
        </w:tc>
        <w:tc>
          <w:tcPr>
            <w:tcW w:w="1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27,147,622</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25,198,043</w:t>
            </w:r>
          </w:p>
        </w:tc>
      </w:tr>
      <w:tr>
        <w:trPr>
          <w:trHeight w:val="164"/>
        </w:trPr>
        <w:tc>
          <w:tcPr>
            <w:tcW w:w="3640" w:type="dxa"/>
            <w:vAlign w:val="bottom"/>
            <w:gridSpan w:val="2"/>
          </w:tcPr>
          <w:p>
            <w:pPr>
              <w:spacing w:after="0"/>
              <w:rPr>
                <w:sz w:val="20"/>
                <w:szCs w:val="20"/>
                <w:color w:val="auto"/>
              </w:rPr>
            </w:pPr>
            <w:r>
              <w:rPr>
                <w:rFonts w:ascii="Courier New" w:cs="Courier New" w:eastAsia="Courier New" w:hAnsi="Courier New"/>
                <w:sz w:val="14"/>
                <w:szCs w:val="14"/>
                <w:color w:val="auto"/>
              </w:rPr>
              <w:t>Dilutive stock options and warrants</w:t>
            </w:r>
          </w:p>
        </w:tc>
        <w:tc>
          <w:tcPr>
            <w:tcW w:w="16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1,242,157</w:t>
            </w:r>
          </w:p>
        </w:tc>
        <w:tc>
          <w:tcPr>
            <w:tcW w:w="1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1,542,842</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1,582,147</w:t>
            </w:r>
          </w:p>
        </w:tc>
      </w:tr>
      <w:tr>
        <w:trPr>
          <w:trHeight w:val="164"/>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9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640" w:type="dxa"/>
            <w:vAlign w:val="bottom"/>
            <w:gridSpan w:val="2"/>
          </w:tcPr>
          <w:p>
            <w:pPr>
              <w:spacing w:after="0"/>
              <w:rPr>
                <w:sz w:val="20"/>
                <w:szCs w:val="20"/>
                <w:color w:val="auto"/>
              </w:rPr>
            </w:pPr>
            <w:r>
              <w:rPr>
                <w:rFonts w:ascii="Courier New" w:cs="Courier New" w:eastAsia="Courier New" w:hAnsi="Courier New"/>
                <w:sz w:val="14"/>
                <w:szCs w:val="14"/>
                <w:color w:val="auto"/>
              </w:rPr>
              <w:t>Shares for diluted earnings per share</w:t>
            </w:r>
          </w:p>
        </w:tc>
        <w:tc>
          <w:tcPr>
            <w:tcW w:w="16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29,740,840</w:t>
            </w:r>
          </w:p>
        </w:tc>
        <w:tc>
          <w:tcPr>
            <w:tcW w:w="1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28,690,464</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26,780,190</w:t>
            </w:r>
          </w:p>
        </w:tc>
      </w:tr>
    </w:tbl>
    <w:p>
      <w:pPr>
        <w:spacing w:after="0" w:line="4" w:lineRule="exact"/>
        <w:rPr>
          <w:sz w:val="20"/>
          <w:szCs w:val="20"/>
          <w:color w:val="auto"/>
        </w:rPr>
      </w:pPr>
    </w:p>
    <w:p>
      <w:pPr>
        <w:ind w:right="2199"/>
        <w:spacing w:after="0" w:line="248" w:lineRule="auto"/>
        <w:rPr>
          <w:sz w:val="20"/>
          <w:szCs w:val="20"/>
          <w:color w:val="auto"/>
        </w:rPr>
      </w:pPr>
      <w:r>
        <w:rPr>
          <w:rFonts w:ascii="Courier New" w:cs="Courier New" w:eastAsia="Courier New" w:hAnsi="Courier New"/>
          <w:sz w:val="14"/>
          <w:szCs w:val="14"/>
          <w:color w:val="auto"/>
        </w:rPr>
        <w:t>============================================================================================= Options outstanding which are not</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Courier New" w:cs="Courier New" w:eastAsia="Courier New" w:hAnsi="Courier New"/>
                <w:sz w:val="14"/>
                <w:szCs w:val="14"/>
                <w:color w:val="auto"/>
              </w:rPr>
              <w:t>included</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in the calculation of diluted</w:t>
            </w:r>
          </w:p>
        </w:tc>
        <w:tc>
          <w:tcPr>
            <w:tcW w:w="1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4"/>
        </w:trPr>
        <w:tc>
          <w:tcPr>
            <w:tcW w:w="72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per share because their</w:t>
            </w: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4"/>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impact is antidilutive</w:t>
            </w:r>
          </w:p>
        </w:tc>
        <w:tc>
          <w:tcPr>
            <w:tcW w:w="14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1,565,868</w:t>
            </w:r>
          </w:p>
        </w:tc>
        <w:tc>
          <w:tcPr>
            <w:tcW w:w="14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284,625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144,000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has adopted SFAS No. 130, "Reporting Comprehensive Income." SFAS No. 130 establishes rules for the reporting and display of comprehensive income and its components in the financial statements. Comprehensive income consists of net income and changes in the value of available-for-sale securities at December 31, 1999 and 1998. Comprehensive income equals net income in 1997. The accumulated balances related to changes in the value of available-for-sale securities for comprehensive income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3120" w:type="dxa"/>
            <w:vAlign w:val="bottom"/>
          </w:tcPr>
          <w:p>
            <w:pPr>
              <w:jc w:val="right"/>
              <w:ind w:right="629"/>
              <w:spacing w:after="0"/>
              <w:rPr>
                <w:sz w:val="20"/>
                <w:szCs w:val="20"/>
                <w:color w:val="auto"/>
              </w:rPr>
            </w:pPr>
            <w:r>
              <w:rPr>
                <w:rFonts w:ascii="Courier New" w:cs="Courier New" w:eastAsia="Courier New" w:hAnsi="Courier New"/>
                <w:sz w:val="14"/>
                <w:szCs w:val="14"/>
                <w:color w:val="auto"/>
              </w:rPr>
              <w:t>1999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Unrealized holding losses arising during the period, net</w:t>
            </w:r>
          </w:p>
        </w:tc>
        <w:tc>
          <w:tcPr>
            <w:tcW w:w="18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4"/>
        </w:trPr>
        <w:tc>
          <w:tcPr>
            <w:tcW w:w="552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of income taxes of $392 and $1,740, respectively</w:t>
            </w:r>
          </w:p>
        </w:tc>
        <w:tc>
          <w:tcPr>
            <w:tcW w:w="18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  (651)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$(2,962)</w:t>
            </w:r>
          </w:p>
        </w:tc>
      </w:tr>
      <w:tr>
        <w:trPr>
          <w:trHeight w:val="164"/>
        </w:trPr>
        <w:tc>
          <w:tcPr>
            <w:tcW w:w="552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Less:  reclassification adjustment for gains realized</w:t>
            </w: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4"/>
        </w:trPr>
        <w:tc>
          <w:tcPr>
            <w:tcW w:w="5520" w:type="dxa"/>
            <w:vAlign w:val="bottom"/>
          </w:tcPr>
          <w:p>
            <w:pPr>
              <w:jc w:val="right"/>
              <w:ind w:right="1509"/>
              <w:spacing w:after="0"/>
              <w:rPr>
                <w:sz w:val="20"/>
                <w:szCs w:val="20"/>
                <w:color w:val="auto"/>
              </w:rPr>
            </w:pPr>
            <w:r>
              <w:rPr>
                <w:rFonts w:ascii="Courier New" w:cs="Courier New" w:eastAsia="Courier New" w:hAnsi="Courier New"/>
                <w:sz w:val="14"/>
                <w:szCs w:val="14"/>
                <w:color w:val="auto"/>
              </w:rPr>
              <w:t>in income, net of income taxes of $1,729</w:t>
            </w:r>
          </w:p>
        </w:tc>
        <w:tc>
          <w:tcPr>
            <w:tcW w:w="18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2,944</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value of available-for-sale</w:t>
      </w:r>
    </w:p>
    <w:p>
      <w:pPr>
        <w:spacing w:after="0" w:line="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securities, net of income taxes</w:t>
            </w:r>
          </w:p>
        </w:tc>
        <w:tc>
          <w:tcPr>
            <w:tcW w:w="2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$2,293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$(2,962)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159"/>
          </w:cols>
          <w:pgMar w:left="300" w:top="448" w:right="1440" w:bottom="1440" w:gutter="0" w:footer="0" w:header="0"/>
        </w:sectPr>
      </w:pPr>
    </w:p>
    <w:bookmarkStart w:id="25" w:name="page26"/>
    <w:bookmarkEnd w:id="25"/>
    <w:p>
      <w:pPr>
        <w:ind w:right="3399"/>
        <w:spacing w:after="0" w:line="250" w:lineRule="auto"/>
        <w:rPr>
          <w:sz w:val="20"/>
          <w:szCs w:val="20"/>
          <w:color w:val="auto"/>
        </w:rPr>
      </w:pPr>
      <w:r>
        <w:rPr>
          <w:rFonts w:ascii="Courier New" w:cs="Courier New" w:eastAsia="Courier New" w:hAnsi="Courier New"/>
          <w:sz w:val="14"/>
          <w:szCs w:val="14"/>
          <w:color w:val="auto"/>
        </w:rPr>
        <w:t>assets and liabilities at the date of the financial statements and the reported amounts of revenues and expenses during the reporting period. Actual results could differ from those estimates.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4"/>
          <w:szCs w:val="14"/>
          <w:color w:val="auto"/>
        </w:rPr>
        <w:t>Certain reclassifications have been made in the 1998 financial statements to conform to the 1999 presentation.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 March 1998, the Accounting Standards Executive Committee ("AcSEC") of the American Institute of Certified Public Accountants issued Statement of Position ("SOP") 98-1, "Accounting for the Costs of Computer Software Developed or Obtained for Internal Use." SOP 98-1 establishes criteria for determining which costs of developing or obtaining internal-use computer software should be charged to expense and which should be capitalized. The Company adopted SOP 98-1 on January 1, 1999. The adoption of SOP 98-1 was not material to the Company's consolidated financial position or results of operations.</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In April 1998, the AcSEC issued SOP 98-5, "Reporting on the Costs of Start-Up Activities." SOP 98-5 establishes standards for the reporting and disclosure of start-up costs, including organization costs. The Company adopted SOP 98-5 on January 1, 1999. Adoption of SOP 98-5 was not material to the Company's consolidated financial position or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June 1998, the Financial Accounting Standards Board ("FASB") issued SFAS No.</w:t>
      </w:r>
    </w:p>
    <w:p>
      <w:pPr>
        <w:spacing w:after="0" w:line="6"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133, "Accounting for Derivative Instruments and Hedging Activities." SFAS No. 133 establishes accounting and reporting standards requiring that every derivative instrument (including certain derivative instruments embedded in other contracts) be recorded in the balance sheet as either an asset or liability measured at its fair value. SFAS No. 133 also requires that changes in derivatives' fair value be recognized currently in earnings unless specific hedge accounting criteria are met. The impact of SFAS No. 133 on the Company's consolidated financial statements will depend on a variety of factors, including future interpretive guidance from the FASB, the extent of the Company's hedging activities, the type of hedging instruments used and the effectiveness of such instruments. The Company has not quantified the impact of adopting SFAS No. 133. In June 1999, the FASB issued SFAS No. 137 "Accounting for Derivative Instruments and Hedging Activities - Deferral of the Effective Date of FASB Statement No. 133 - an amendment of FASB Statement No. 133," which delayed the implementation date for SFAS 133 for one year to fiscal years beginning after June 15, 2000.</w:t>
      </w:r>
    </w:p>
    <w:p>
      <w:pPr>
        <w:spacing w:after="0" w:line="335" w:lineRule="exact"/>
        <w:rPr>
          <w:sz w:val="20"/>
          <w:szCs w:val="20"/>
          <w:color w:val="auto"/>
        </w:rPr>
      </w:pPr>
    </w:p>
    <w:p>
      <w:pPr>
        <w:ind w:left="440" w:hanging="432"/>
        <w:spacing w:after="0"/>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Inventories consist of air conditioning, heating and refrigeration equipment and related parts and supplies. The Company has distribution agreements with five key equipment suppliers. Purchases from these five suppliers comprised 43%, 39% and 50% of all purchases made in 1999, 1998 and 1997, respectively. The Company's largest supplier accounted for 18%, 17% and 32% of all purchases made in 1999, 1998 and 1997, respectively. Any significant interruption by the manufacturers or a termination of a distribution agreement could temporarily disrupt the operations of certain subsidiaries. The Company believes that its sales of other complementary equipment products and continued emphasis to expand sales of parts and supplies are mitigating factors against this risk.</w:t>
      </w:r>
    </w:p>
    <w:p>
      <w:pPr>
        <w:spacing w:after="0" w:line="162" w:lineRule="exact"/>
        <w:rPr>
          <w:sz w:val="20"/>
          <w:szCs w:val="20"/>
          <w:color w:val="auto"/>
        </w:rPr>
      </w:pPr>
    </w:p>
    <w:p>
      <w:pPr>
        <w:ind w:left="440" w:hanging="432"/>
        <w:spacing w:after="0"/>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OPERATIONS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 November 1997, the Company's Board of Directors approved a plan to dispose of the Company's manufacturing operation, Watsco Components, Inc. ("Components"). In May 1998, the Company sold substantially all the operating assets of Components to International Comfort Products Corporation ("ICP") in exchange for approximately $16,649 of ICP's common stock. The results of Components have been accounted for as a discontinued operation and the accompanying consolidated financial statements presented herein report separately the net assets, net cash flows and operating results of this discontinued operation.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 summarized results for the discontinued operation is as follows: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28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6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8,861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$ 22,518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9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Loss before income taxes</w:t>
            </w:r>
          </w:p>
        </w:tc>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(1,270)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(1,644)</w:t>
            </w:r>
          </w:p>
        </w:tc>
      </w:tr>
      <w:tr>
        <w:trPr>
          <w:trHeight w:val="164"/>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Income tax benefit</w:t>
            </w:r>
          </w:p>
        </w:tc>
        <w:tc>
          <w:tcPr>
            <w:tcW w:w="1960" w:type="dxa"/>
            <w:vAlign w:val="bottom"/>
          </w:tcPr>
          <w:p>
            <w:pPr>
              <w:spacing w:after="0"/>
              <w:rPr>
                <w:sz w:val="14"/>
                <w:szCs w:val="14"/>
                <w:color w:val="auto"/>
              </w:rPr>
            </w:pPr>
          </w:p>
        </w:tc>
        <w:tc>
          <w:tcPr>
            <w:tcW w:w="10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470</w:t>
            </w:r>
          </w:p>
        </w:tc>
        <w:tc>
          <w:tcPr>
            <w:tcW w:w="520" w:type="dxa"/>
            <w:vAlign w:val="bottom"/>
          </w:tcPr>
          <w:p>
            <w:pPr>
              <w:spacing w:after="0"/>
              <w:rPr>
                <w:sz w:val="14"/>
                <w:szCs w:val="14"/>
                <w:color w:val="auto"/>
              </w:rPr>
            </w:pP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633</w:t>
            </w:r>
          </w:p>
        </w:tc>
      </w:tr>
      <w:tr>
        <w:trPr>
          <w:trHeight w:val="164"/>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9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Net loss</w:t>
            </w:r>
          </w:p>
        </w:tc>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159"/>
          </w:cols>
          <w:pgMar w:left="300" w:top="612" w:right="1440" w:bottom="1440" w:gutter="0" w:footer="0" w:header="0"/>
        </w:sectPr>
      </w:pPr>
    </w:p>
    <w:bookmarkStart w:id="26" w:name="page27"/>
    <w:bookmarkEnd w:id="26"/>
    <w:p>
      <w:pPr>
        <w:ind w:right="3399"/>
        <w:spacing w:after="0" w:line="249" w:lineRule="auto"/>
        <w:rPr>
          <w:sz w:val="20"/>
          <w:szCs w:val="20"/>
          <w:color w:val="auto"/>
        </w:rPr>
      </w:pPr>
      <w:r>
        <w:rPr>
          <w:rFonts w:ascii="Courier New" w:cs="Courier New" w:eastAsia="Courier New" w:hAnsi="Courier New"/>
          <w:sz w:val="14"/>
          <w:szCs w:val="14"/>
          <w:color w:val="auto"/>
        </w:rPr>
        <w:t>Income before income taxes includes allocated interest expense of $177 and $315 in 1998 and 1997, respectively. Interest expense was allocated to Components based on a ratio of the net assets of the discontinued operation to the total Company's consolidated net assets.</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 November 1997, the Company's Board of Directors approved a plan to dispose of its staffing service subsidiary, Dunhill. During the period in which it was reported as a discontinued operation, the Company did not receive any acceptable offers for Dunhill. Therefore, in 1999, the Company decided to retain Dunhill as part of its continuing operations and has accordingly restated net assets, net cash flows and operating results in 1998 and 1997 to include Dunhill in continuing operations.</w:t>
      </w:r>
    </w:p>
    <w:p>
      <w:pPr>
        <w:spacing w:after="0" w:line="163"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4"/>
          <w:szCs w:val="14"/>
          <w:color w:val="auto"/>
        </w:rPr>
        <w:t>Unaudited summarized financial information for each of the years Dunhill was reported as a discontinued operation is as follows: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28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3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$13,875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$11,787</w:t>
            </w:r>
          </w:p>
        </w:tc>
      </w:tr>
      <w:tr>
        <w:trPr>
          <w:trHeight w:val="164"/>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3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1,909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5800" w:val="left"/>
          <w:tab w:leader="none" w:pos="7340" w:val="left"/>
        </w:tabs>
        <w:rPr>
          <w:sz w:val="20"/>
          <w:szCs w:val="20"/>
          <w:color w:val="auto"/>
        </w:rPr>
      </w:pPr>
      <w:r>
        <w:rPr>
          <w:rFonts w:ascii="Courier New" w:cs="Courier New" w:eastAsia="Courier New" w:hAnsi="Courier New"/>
          <w:sz w:val="14"/>
          <w:szCs w:val="14"/>
          <w:color w:val="auto"/>
        </w:rPr>
        <w:t>Revenue</w:t>
      </w:r>
      <w:r>
        <w:rPr>
          <w:sz w:val="20"/>
          <w:szCs w:val="20"/>
          <w:color w:val="auto"/>
        </w:rPr>
        <w:tab/>
      </w:r>
      <w:r>
        <w:rPr>
          <w:rFonts w:ascii="Courier New" w:cs="Courier New" w:eastAsia="Courier New" w:hAnsi="Courier New"/>
          <w:sz w:val="14"/>
          <w:szCs w:val="14"/>
          <w:color w:val="auto"/>
        </w:rPr>
        <w:t>$53,420</w:t>
      </w:r>
      <w:r>
        <w:rPr>
          <w:sz w:val="20"/>
          <w:szCs w:val="20"/>
          <w:color w:val="auto"/>
        </w:rPr>
        <w:tab/>
      </w:r>
      <w:r>
        <w:rPr>
          <w:rFonts w:ascii="Courier New" w:cs="Courier New" w:eastAsia="Courier New" w:hAnsi="Courier New"/>
          <w:sz w:val="14"/>
          <w:szCs w:val="14"/>
          <w:color w:val="auto"/>
        </w:rPr>
        <w:t>$44,713</w:t>
      </w:r>
    </w:p>
    <w:p>
      <w:pPr>
        <w:spacing w:after="0" w:line="6" w:lineRule="exact"/>
        <w:rPr>
          <w:sz w:val="20"/>
          <w:szCs w:val="20"/>
          <w:color w:val="auto"/>
        </w:rPr>
      </w:pPr>
    </w:p>
    <w:p>
      <w:pPr>
        <w:spacing w:after="0"/>
        <w:tabs>
          <w:tab w:leader="none" w:pos="5960" w:val="left"/>
          <w:tab w:leader="none" w:pos="7500" w:val="left"/>
        </w:tabs>
        <w:rPr>
          <w:sz w:val="20"/>
          <w:szCs w:val="20"/>
          <w:color w:val="auto"/>
        </w:rPr>
      </w:pPr>
      <w:r>
        <w:rPr>
          <w:rFonts w:ascii="Courier New" w:cs="Courier New" w:eastAsia="Courier New" w:hAnsi="Courier New"/>
          <w:sz w:val="14"/>
          <w:szCs w:val="14"/>
          <w:color w:val="auto"/>
        </w:rPr>
        <w:t>Operating profit</w:t>
      </w:r>
      <w:r>
        <w:rPr>
          <w:sz w:val="20"/>
          <w:szCs w:val="20"/>
          <w:color w:val="auto"/>
        </w:rPr>
        <w:tab/>
      </w:r>
      <w:r>
        <w:rPr>
          <w:rFonts w:ascii="Courier New" w:cs="Courier New" w:eastAsia="Courier New" w:hAnsi="Courier New"/>
          <w:sz w:val="14"/>
          <w:szCs w:val="14"/>
          <w:color w:val="auto"/>
        </w:rPr>
        <w:t>2,220</w:t>
      </w:r>
      <w:r>
        <w:rPr>
          <w:sz w:val="20"/>
          <w:szCs w:val="20"/>
          <w:color w:val="auto"/>
        </w:rPr>
        <w:tab/>
      </w:r>
      <w:r>
        <w:rPr>
          <w:rFonts w:ascii="Courier New" w:cs="Courier New" w:eastAsia="Courier New" w:hAnsi="Courier New"/>
          <w:sz w:val="14"/>
          <w:szCs w:val="14"/>
          <w:color w:val="auto"/>
        </w:rPr>
        <w:t>1,759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4" w:lineRule="exact"/>
        <w:rPr>
          <w:sz w:val="20"/>
          <w:szCs w:val="20"/>
          <w:color w:val="auto"/>
        </w:rPr>
      </w:pPr>
    </w:p>
    <w:p>
      <w:pPr>
        <w:ind w:right="6059" w:firstLine="8"/>
        <w:spacing w:after="0" w:line="500" w:lineRule="auto"/>
        <w:tabs>
          <w:tab w:leader="none" w:pos="42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NET Property, plant and equipment, net, consists of:</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342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20"/>
                <w:szCs w:val="20"/>
                <w:color w:val="auto"/>
              </w:rPr>
            </w:pPr>
            <w:r>
              <w:rPr>
                <w:rFonts w:ascii="Courier New" w:cs="Courier New" w:eastAsia="Courier New" w:hAnsi="Courier New"/>
                <w:sz w:val="14"/>
                <w:szCs w:val="14"/>
                <w:color w:val="auto"/>
              </w:rPr>
              <w:t>Land, buildings and improvements</w:t>
            </w:r>
          </w:p>
        </w:tc>
        <w:tc>
          <w:tcPr>
            <w:tcW w:w="26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$17,008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$18,566</w:t>
            </w:r>
          </w:p>
        </w:tc>
      </w:tr>
      <w:tr>
        <w:trPr>
          <w:trHeight w:val="164"/>
        </w:trPr>
        <w:tc>
          <w:tcPr>
            <w:tcW w:w="4400" w:type="dxa"/>
            <w:vAlign w:val="bottom"/>
          </w:tcPr>
          <w:p>
            <w:pPr>
              <w:spacing w:after="0"/>
              <w:rPr>
                <w:sz w:val="20"/>
                <w:szCs w:val="20"/>
                <w:color w:val="auto"/>
              </w:rPr>
            </w:pPr>
            <w:r>
              <w:rPr>
                <w:rFonts w:ascii="Courier New" w:cs="Courier New" w:eastAsia="Courier New" w:hAnsi="Courier New"/>
                <w:sz w:val="14"/>
                <w:szCs w:val="14"/>
                <w:color w:val="auto"/>
              </w:rPr>
              <w:t>Machinery, vehicles and equipment</w:t>
            </w:r>
          </w:p>
        </w:tc>
        <w:tc>
          <w:tcPr>
            <w:tcW w:w="26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34,838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27,251</w:t>
            </w:r>
          </w:p>
        </w:tc>
      </w:tr>
      <w:tr>
        <w:trPr>
          <w:trHeight w:val="164"/>
        </w:trPr>
        <w:tc>
          <w:tcPr>
            <w:tcW w:w="440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26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14,977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13,025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7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66,823</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58,842</w:t>
            </w:r>
          </w:p>
        </w:tc>
      </w:tr>
      <w:tr>
        <w:trPr>
          <w:trHeight w:val="164"/>
        </w:trPr>
        <w:tc>
          <w:tcPr>
            <w:tcW w:w="42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2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4"/>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and amortization</w:t>
            </w:r>
          </w:p>
        </w:tc>
        <w:tc>
          <w:tcPr>
            <w:tcW w:w="27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(35,396)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(27,109)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5980"/>
        <w:spacing w:after="0"/>
        <w:tabs>
          <w:tab w:leader="none" w:pos="7420" w:val="left"/>
        </w:tabs>
        <w:rPr>
          <w:sz w:val="20"/>
          <w:szCs w:val="20"/>
          <w:color w:val="auto"/>
        </w:rPr>
      </w:pPr>
      <w:r>
        <w:rPr>
          <w:rFonts w:ascii="Courier New" w:cs="Courier New" w:eastAsia="Courier New" w:hAnsi="Courier New"/>
          <w:sz w:val="14"/>
          <w:szCs w:val="14"/>
          <w:color w:val="auto"/>
        </w:rPr>
        <w:t>$31,427</w:t>
      </w:r>
      <w:r>
        <w:rPr>
          <w:sz w:val="20"/>
          <w:szCs w:val="20"/>
          <w:color w:val="auto"/>
        </w:rPr>
        <w:tab/>
      </w:r>
      <w:r>
        <w:rPr>
          <w:rFonts w:ascii="Courier New" w:cs="Courier New" w:eastAsia="Courier New" w:hAnsi="Courier New"/>
          <w:sz w:val="14"/>
          <w:szCs w:val="14"/>
          <w:color w:val="auto"/>
        </w:rPr>
        <w:t>$31,733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right="7579" w:firstLine="8"/>
        <w:spacing w:after="0" w:line="497" w:lineRule="auto"/>
        <w:tabs>
          <w:tab w:leader="none" w:pos="76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OBLIGATIONS Revolving Credit Agreement</w:t>
      </w:r>
    </w:p>
    <w:p>
      <w:pPr>
        <w:ind w:right="3319"/>
        <w:spacing w:after="0" w:line="248" w:lineRule="auto"/>
        <w:rPr>
          <w:sz w:val="20"/>
          <w:szCs w:val="20"/>
          <w:color w:val="auto"/>
        </w:rPr>
      </w:pPr>
      <w:r>
        <w:rPr>
          <w:rFonts w:ascii="Courier New" w:cs="Courier New" w:eastAsia="Courier New" w:hAnsi="Courier New"/>
          <w:sz w:val="14"/>
          <w:szCs w:val="14"/>
          <w:color w:val="auto"/>
        </w:rPr>
        <w:t>The Company maintains a bank-syndicated revolving credit agreement that provides for borrowings of up to $315,000, expiring on August 8, 2002. Borrowings under the unsecured agreement are used to fund seasonal working capital needs and for other general corporate purposes, including acquisitions. Borrowings under the agreement aggregated $155,000 and $168,000 in 1999 and 1998, respectively, and bear interest at primarily London Interbank Offered Rate ("LIBOR") based rates plus a spread that is dependent upon the Company's financial performance (LIBOR plus .5% and LIBOR plus .7% as of December 31, 1999 and 1998, respectively). The Company must pay a variable commitment fee on the unused portion of the commitment. The revolving credit agreement contains customary affirmative and negative covenants including certain financial covenants with respect to the Company's consolidated net worth, interest and debt coverage ratios and limits capital expenditures and dividends in addition to other restrictions. The Company was in compliance with all covenants at December 31, 1999. See Note 10 for details regarding related interest rate swap agreements, designated as hedges.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and Other Debt</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Bank and other debt (net of current portion) of $4,415 and $4,301 at December 31, 1999 and 1998, respectively, primarily consists of promissory notes issued for business acquisitions. Interest rates on bank and other debt range from 3% to 13% and mature at varying dates through 2008. Annual maturities of long-term obligations for the years subsequent to December 31, 1999 are as follows: $5,915 in 2000, $2,243 in 2001, $1,108 in 2002, $262 in 2003, $194 in 2004 and $608 thereafter.</w:t>
      </w:r>
    </w:p>
    <w:p>
      <w:pPr>
        <w:spacing w:after="0" w:line="163"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4"/>
          <w:szCs w:val="14"/>
          <w:color w:val="auto"/>
        </w:rPr>
        <w:t>Total interest paid was $13,183, $11,424 and $4,787 for the years ended December 31, 1999, 1998 and 1997, respectively.</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159"/>
          </w:cols>
          <w:pgMar w:left="300" w:top="612" w:right="1440" w:bottom="1440" w:gutter="0" w:footer="0" w:header="0"/>
        </w:sectPr>
      </w:pPr>
    </w:p>
    <w:bookmarkStart w:id="27" w:name="page28"/>
    <w:bookmarkEnd w:id="27"/>
    <w:p>
      <w:pPr>
        <w:ind w:left="440" w:hanging="432"/>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income tax provision consists 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4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1999</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Federal</w:t>
            </w:r>
          </w:p>
        </w:tc>
        <w:tc>
          <w:tcPr>
            <w:tcW w:w="22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$16,489</w:t>
            </w:r>
          </w:p>
        </w:tc>
        <w:tc>
          <w:tcPr>
            <w:tcW w:w="1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$15,211</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$10,296</w:t>
            </w:r>
          </w:p>
        </w:tc>
      </w:tr>
      <w:tr>
        <w:trPr>
          <w:trHeight w:val="164"/>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State</w:t>
            </w:r>
          </w:p>
        </w:tc>
        <w:tc>
          <w:tcPr>
            <w:tcW w:w="22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826</w:t>
            </w:r>
          </w:p>
        </w:tc>
        <w:tc>
          <w:tcPr>
            <w:tcW w:w="1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630</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1,828</w:t>
            </w:r>
          </w:p>
        </w:tc>
      </w:tr>
      <w:tr>
        <w:trPr>
          <w:trHeight w:val="164"/>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$17,315</w:t>
            </w:r>
          </w:p>
        </w:tc>
        <w:tc>
          <w:tcPr>
            <w:tcW w:w="1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$15,841</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$12,124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$16,195</w:t>
            </w:r>
          </w:p>
        </w:tc>
        <w:tc>
          <w:tcPr>
            <w:tcW w:w="1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$16,161</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$12,849</w:t>
            </w:r>
          </w:p>
        </w:tc>
      </w:tr>
      <w:tr>
        <w:trPr>
          <w:trHeight w:val="164"/>
        </w:trPr>
        <w:tc>
          <w:tcPr>
            <w:tcW w:w="18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1,120</w:t>
            </w:r>
          </w:p>
        </w:tc>
        <w:tc>
          <w:tcPr>
            <w:tcW w:w="1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(320)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(725)</w:t>
            </w:r>
          </w:p>
        </w:tc>
      </w:tr>
    </w:tbl>
    <w:p>
      <w:pPr>
        <w:spacing w:after="0" w:line="4"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$17,315$15,841$12,124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jc w:val="both"/>
        <w:ind w:right="3659"/>
        <w:spacing w:after="0" w:line="250" w:lineRule="auto"/>
        <w:rPr>
          <w:sz w:val="20"/>
          <w:szCs w:val="20"/>
          <w:color w:val="auto"/>
        </w:rPr>
      </w:pPr>
      <w:r>
        <w:rPr>
          <w:rFonts w:ascii="Courier New" w:cs="Courier New" w:eastAsia="Courier New" w:hAnsi="Courier New"/>
          <w:sz w:val="14"/>
          <w:szCs w:val="14"/>
          <w:color w:val="auto"/>
        </w:rPr>
        <w:t>A reconciliation of the provision for federal income taxes from the federal statutory income tax rate to the effective income tax rate as reported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20"/>
                <w:szCs w:val="20"/>
                <w:color w:val="auto"/>
              </w:rPr>
            </w:pPr>
            <w:r>
              <w:rPr>
                <w:rFonts w:ascii="Courier New" w:cs="Courier New" w:eastAsia="Courier New" w:hAnsi="Courier New"/>
                <w:sz w:val="14"/>
                <w:szCs w:val="14"/>
                <w:color w:val="auto"/>
              </w:rPr>
              <w:t>Federal statutory rate</w:t>
            </w:r>
          </w:p>
        </w:tc>
        <w:tc>
          <w:tcPr>
            <w:tcW w:w="15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35.0%</w:t>
            </w:r>
          </w:p>
        </w:tc>
        <w:tc>
          <w:tcPr>
            <w:tcW w:w="12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35.0%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4"/>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State income taxes, net of federal benefit 2.0</w:t>
            </w:r>
          </w:p>
        </w:tc>
        <w:tc>
          <w:tcPr>
            <w:tcW w:w="128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2.0</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w:t>
            </w:r>
          </w:p>
        </w:tc>
      </w:tr>
      <w:tr>
        <w:trPr>
          <w:trHeight w:val="164"/>
        </w:trPr>
        <w:tc>
          <w:tcPr>
            <w:tcW w:w="274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5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3600"/>
        <w:spacing w:after="0"/>
        <w:tabs>
          <w:tab w:leader="none" w:pos="4600" w:val="left"/>
          <w:tab w:leader="none" w:pos="6140" w:val="left"/>
        </w:tabs>
        <w:rPr>
          <w:sz w:val="20"/>
          <w:szCs w:val="20"/>
          <w:color w:val="auto"/>
        </w:rPr>
      </w:pPr>
      <w:r>
        <w:rPr>
          <w:rFonts w:ascii="Courier New" w:cs="Courier New" w:eastAsia="Courier New" w:hAnsi="Courier New"/>
          <w:sz w:val="14"/>
          <w:szCs w:val="14"/>
          <w:color w:val="auto"/>
        </w:rPr>
        <w:t>37.0%</w:t>
      </w:r>
      <w:r>
        <w:rPr>
          <w:sz w:val="20"/>
          <w:szCs w:val="20"/>
          <w:color w:val="auto"/>
        </w:rPr>
        <w:tab/>
      </w:r>
      <w:r>
        <w:rPr>
          <w:rFonts w:ascii="Courier New" w:cs="Courier New" w:eastAsia="Courier New" w:hAnsi="Courier New"/>
          <w:sz w:val="14"/>
          <w:szCs w:val="14"/>
          <w:color w:val="auto"/>
        </w:rPr>
        <w:t>37.0%</w:t>
      </w:r>
      <w:r>
        <w:rPr>
          <w:sz w:val="20"/>
          <w:szCs w:val="20"/>
          <w:color w:val="auto"/>
        </w:rPr>
        <w:tab/>
      </w:r>
      <w:r>
        <w:rPr>
          <w:rFonts w:ascii="Courier New" w:cs="Courier New" w:eastAsia="Courier New" w:hAnsi="Courier New"/>
          <w:sz w:val="14"/>
          <w:szCs w:val="14"/>
          <w:color w:val="auto"/>
        </w:rPr>
        <w:t>38.5%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919"/>
        <w:spacing w:after="0" w:line="251" w:lineRule="auto"/>
        <w:rPr>
          <w:sz w:val="20"/>
          <w:szCs w:val="20"/>
          <w:color w:val="auto"/>
        </w:rPr>
      </w:pPr>
      <w:r>
        <w:rPr>
          <w:rFonts w:ascii="Courier New" w:cs="Courier New" w:eastAsia="Courier New" w:hAnsi="Courier New"/>
          <w:sz w:val="14"/>
          <w:szCs w:val="14"/>
          <w:color w:val="auto"/>
        </w:rPr>
        <w:t>The following is a summary of the significant components of the Company's deferred tax assets and liabilities: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6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assets:</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other current assets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20"/>
                <w:szCs w:val="20"/>
                <w:color w:val="auto"/>
              </w:rPr>
            </w:pPr>
            <w:r>
              <w:rPr>
                <w:rFonts w:ascii="Courier New" w:cs="Courier New" w:eastAsia="Courier New" w:hAnsi="Courier New"/>
                <w:sz w:val="14"/>
                <w:szCs w:val="14"/>
                <w:color w:val="auto"/>
              </w:rPr>
              <w:t>Accounts receivable reserves</w:t>
            </w:r>
          </w:p>
        </w:tc>
        <w:tc>
          <w:tcPr>
            <w:tcW w:w="11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$1,234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$1,560</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Capitalized inventory costs and inventory reserves</w:t>
            </w:r>
          </w:p>
        </w:tc>
        <w:tc>
          <w:tcPr>
            <w:tcW w:w="11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6,608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5,446</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(238)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4880"/>
        <w:spacing w:after="0"/>
        <w:tabs>
          <w:tab w:leader="none" w:pos="6060" w:val="left"/>
        </w:tabs>
        <w:rPr>
          <w:sz w:val="20"/>
          <w:szCs w:val="20"/>
          <w:color w:val="auto"/>
        </w:rPr>
      </w:pPr>
      <w:r>
        <w:rPr>
          <w:rFonts w:ascii="Courier New" w:cs="Courier New" w:eastAsia="Courier New" w:hAnsi="Courier New"/>
          <w:sz w:val="14"/>
          <w:szCs w:val="14"/>
          <w:color w:val="auto"/>
        </w:rPr>
        <w:t>7,604</w:t>
      </w:r>
      <w:r>
        <w:rPr>
          <w:sz w:val="20"/>
          <w:szCs w:val="20"/>
          <w:color w:val="auto"/>
        </w:rPr>
        <w:tab/>
      </w:r>
      <w:r>
        <w:rPr>
          <w:rFonts w:ascii="Courier New" w:cs="Courier New" w:eastAsia="Courier New" w:hAnsi="Courier New"/>
          <w:sz w:val="14"/>
          <w:szCs w:val="14"/>
          <w:color w:val="auto"/>
        </w:rPr>
        <w:t>7,403</w:t>
      </w:r>
    </w:p>
    <w:p>
      <w:pPr>
        <w:spacing w:after="0" w:line="6"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other noncurrent assets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20"/>
                <w:szCs w:val="20"/>
                <w:color w:val="auto"/>
              </w:rPr>
            </w:pPr>
            <w:r>
              <w:rPr>
                <w:rFonts w:ascii="Courier New" w:cs="Courier New" w:eastAsia="Courier New" w:hAnsi="Courier New"/>
                <w:sz w:val="14"/>
                <w:szCs w:val="14"/>
                <w:color w:val="auto"/>
              </w:rPr>
              <w:t>Net operating loss carryforwards of subsidiary</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487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568</w:t>
            </w:r>
          </w:p>
        </w:tc>
      </w:tr>
      <w:tr>
        <w:trPr>
          <w:trHeight w:val="164"/>
        </w:trPr>
        <w:tc>
          <w:tcPr>
            <w:tcW w:w="4460" w:type="dxa"/>
            <w:vAlign w:val="bottom"/>
          </w:tcPr>
          <w:p>
            <w:pPr>
              <w:spacing w:after="0"/>
              <w:rPr>
                <w:sz w:val="20"/>
                <w:szCs w:val="20"/>
                <w:color w:val="auto"/>
              </w:rPr>
            </w:pPr>
            <w:r>
              <w:rPr>
                <w:rFonts w:ascii="Courier New" w:cs="Courier New" w:eastAsia="Courier New" w:hAnsi="Courier New"/>
                <w:sz w:val="14"/>
                <w:szCs w:val="14"/>
                <w:color w:val="auto"/>
              </w:rPr>
              <w:t>Unrealized loss on investments</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392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1,740</w:t>
            </w:r>
          </w:p>
        </w:tc>
      </w:tr>
      <w:tr>
        <w:trPr>
          <w:trHeight w:val="164"/>
        </w:trPr>
        <w:tc>
          <w:tcPr>
            <w:tcW w:w="44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5040"/>
        <w:spacing w:after="0"/>
        <w:tabs>
          <w:tab w:leader="none" w:pos="6060" w:val="left"/>
        </w:tabs>
        <w:rPr>
          <w:sz w:val="20"/>
          <w:szCs w:val="20"/>
          <w:color w:val="auto"/>
        </w:rPr>
      </w:pPr>
      <w:r>
        <w:rPr>
          <w:rFonts w:ascii="Courier New" w:cs="Courier New" w:eastAsia="Courier New" w:hAnsi="Courier New"/>
          <w:sz w:val="14"/>
          <w:szCs w:val="14"/>
          <w:color w:val="auto"/>
        </w:rPr>
        <w:t>726</w:t>
      </w:r>
      <w:r>
        <w:rPr>
          <w:sz w:val="20"/>
          <w:szCs w:val="20"/>
          <w:color w:val="auto"/>
        </w:rPr>
        <w:tab/>
      </w:r>
      <w:r>
        <w:rPr>
          <w:rFonts w:ascii="Courier New" w:cs="Courier New" w:eastAsia="Courier New" w:hAnsi="Courier New"/>
          <w:sz w:val="14"/>
          <w:szCs w:val="14"/>
          <w:color w:val="auto"/>
        </w:rPr>
        <w:t>2,396</w:t>
      </w:r>
    </w:p>
    <w:p>
      <w:pPr>
        <w:spacing w:after="0" w:line="6"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noncurrent liabilities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(528)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(606)</w:t>
            </w:r>
          </w:p>
        </w:tc>
      </w:tr>
      <w:tr>
        <w:trPr>
          <w:trHeight w:val="164"/>
        </w:trPr>
        <w:tc>
          <w:tcPr>
            <w:tcW w:w="3640" w:type="dxa"/>
            <w:vAlign w:val="bottom"/>
          </w:tcPr>
          <w:p>
            <w:pPr>
              <w:spacing w:after="0"/>
              <w:rPr>
                <w:sz w:val="20"/>
                <w:szCs w:val="20"/>
                <w:color w:val="auto"/>
              </w:rPr>
            </w:pPr>
            <w:r>
              <w:rPr>
                <w:rFonts w:ascii="Courier New" w:cs="Courier New" w:eastAsia="Courier New" w:hAnsi="Courier New"/>
                <w:sz w:val="14"/>
                <w:szCs w:val="14"/>
                <w:color w:val="auto"/>
              </w:rPr>
              <w:t>Deductible goodwill</w:t>
            </w:r>
          </w:p>
        </w:tc>
        <w:tc>
          <w:tcPr>
            <w:tcW w:w="2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(3,415)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(1,423)</w:t>
            </w:r>
          </w:p>
        </w:tc>
      </w:tr>
      <w:tr>
        <w:trPr>
          <w:trHeight w:val="164"/>
        </w:trPr>
        <w:tc>
          <w:tcPr>
            <w:tcW w:w="3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(529)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4800"/>
        <w:spacing w:after="0"/>
        <w:tabs>
          <w:tab w:leader="none" w:pos="5960" w:val="left"/>
        </w:tabs>
        <w:rPr>
          <w:sz w:val="20"/>
          <w:szCs w:val="20"/>
          <w:color w:val="auto"/>
        </w:rPr>
      </w:pPr>
      <w:r>
        <w:rPr>
          <w:rFonts w:ascii="Courier New" w:cs="Courier New" w:eastAsia="Courier New" w:hAnsi="Courier New"/>
          <w:sz w:val="14"/>
          <w:szCs w:val="14"/>
          <w:color w:val="auto"/>
        </w:rPr>
        <w:t>(4,472)</w:t>
      </w:r>
      <w:r>
        <w:rPr>
          <w:sz w:val="20"/>
          <w:szCs w:val="20"/>
          <w:color w:val="auto"/>
        </w:rPr>
        <w:tab/>
      </w:r>
      <w:r>
        <w:rPr>
          <w:rFonts w:ascii="Courier New" w:cs="Courier New" w:eastAsia="Courier New" w:hAnsi="Courier New"/>
          <w:sz w:val="14"/>
          <w:szCs w:val="14"/>
          <w:color w:val="auto"/>
        </w:rPr>
        <w:t>(3,421)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260"/>
        <w:spacing w:after="0"/>
        <w:tabs>
          <w:tab w:leader="none" w:pos="4780" w:val="left"/>
          <w:tab w:leader="none" w:pos="5960" w:val="left"/>
        </w:tabs>
        <w:rPr>
          <w:sz w:val="20"/>
          <w:szCs w:val="20"/>
          <w:color w:val="auto"/>
        </w:rPr>
      </w:pPr>
      <w:r>
        <w:rPr>
          <w:rFonts w:ascii="Courier New" w:cs="Courier New" w:eastAsia="Courier New" w:hAnsi="Courier New"/>
          <w:sz w:val="14"/>
          <w:szCs w:val="14"/>
          <w:color w:val="auto"/>
        </w:rPr>
        <w:t>Total net deferred tax assets</w:t>
      </w:r>
      <w:r>
        <w:rPr>
          <w:sz w:val="20"/>
          <w:szCs w:val="20"/>
          <w:color w:val="auto"/>
        </w:rPr>
        <w:tab/>
      </w:r>
      <w:r>
        <w:rPr>
          <w:rFonts w:ascii="Courier New" w:cs="Courier New" w:eastAsia="Courier New" w:hAnsi="Courier New"/>
          <w:sz w:val="14"/>
          <w:szCs w:val="14"/>
          <w:color w:val="auto"/>
        </w:rPr>
        <w:t>$3,858</w:t>
      </w:r>
      <w:r>
        <w:rPr>
          <w:sz w:val="20"/>
          <w:szCs w:val="20"/>
          <w:color w:val="auto"/>
        </w:rPr>
        <w:tab/>
      </w:r>
      <w:r>
        <w:rPr>
          <w:rFonts w:ascii="Courier New" w:cs="Courier New" w:eastAsia="Courier New" w:hAnsi="Courier New"/>
          <w:sz w:val="14"/>
          <w:szCs w:val="14"/>
          <w:color w:val="auto"/>
        </w:rPr>
        <w:t>$6,378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A subsidiary of the Company has available net operating loss carryforwards ("NOLs") of approximately $1,392, which are available to offset future taxable income in equal annual amounts of approximately $232 through 2005. SFAS No. 109, "Accounting for Income Taxes," requires that the tax benefit of such NOLs be recorded as an asset to the extent that management assesses the utilization of such NOLs to be more likely than not. Management has determined, based on the subsidiary's recent taxable income and expectations for the future, that taxable income of the subsidiary will be sufficient to fully utilize the available NOLs.</w:t>
      </w:r>
    </w:p>
    <w:p>
      <w:pPr>
        <w:spacing w:after="0" w:line="163" w:lineRule="exact"/>
        <w:rPr>
          <w:sz w:val="20"/>
          <w:szCs w:val="20"/>
          <w:color w:val="auto"/>
        </w:rPr>
      </w:pPr>
    </w:p>
    <w:p>
      <w:pPr>
        <w:ind w:right="3579"/>
        <w:spacing w:after="0" w:line="251" w:lineRule="auto"/>
        <w:rPr>
          <w:sz w:val="20"/>
          <w:szCs w:val="20"/>
          <w:color w:val="auto"/>
        </w:rPr>
      </w:pPr>
      <w:r>
        <w:rPr>
          <w:rFonts w:ascii="Courier New" w:cs="Courier New" w:eastAsia="Courier New" w:hAnsi="Courier New"/>
          <w:sz w:val="14"/>
          <w:szCs w:val="14"/>
          <w:color w:val="auto"/>
        </w:rPr>
        <w:t>Total income taxes paid were $15,745, $17,396 and $13,133 for the years ended December 31, 1999, 1998 and 1997, respectively.</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159"/>
          </w:cols>
          <w:pgMar w:left="300" w:top="612" w:right="1440" w:bottom="1440" w:gutter="0" w:footer="0" w:header="0"/>
        </w:sectPr>
      </w:pPr>
    </w:p>
    <w:bookmarkStart w:id="28" w:name="page29"/>
    <w:bookmarkEnd w:id="28"/>
    <w:p>
      <w:pPr>
        <w:ind w:right="7159" w:firstLine="8"/>
        <w:spacing w:after="0" w:line="497" w:lineRule="auto"/>
        <w:tabs>
          <w:tab w:leader="none" w:pos="42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AND BENEFIT PLANS Stock Option Plans</w:t>
      </w:r>
    </w:p>
    <w:p>
      <w:pPr>
        <w:ind w:right="3399"/>
        <w:spacing w:after="0" w:line="248" w:lineRule="auto"/>
        <w:rPr>
          <w:sz w:val="20"/>
          <w:szCs w:val="20"/>
          <w:color w:val="auto"/>
        </w:rPr>
      </w:pPr>
      <w:r>
        <w:rPr>
          <w:rFonts w:ascii="Courier New" w:cs="Courier New" w:eastAsia="Courier New" w:hAnsi="Courier New"/>
          <w:sz w:val="14"/>
          <w:szCs w:val="14"/>
          <w:color w:val="auto"/>
        </w:rPr>
        <w:t>At December 31, 1999, the Company had two stock option plans. Under the 1991 Stock Option Plan (the "1991 Plan"), options for an aggregate of 6,750,000 shares of Common Stock and Class B Common Stock may be granted. Options as to 3,760,632 shares of Common Stock and 2,023,872 shares of Class B Common Stock have been granted through December 31, 1999. The terms of the 1991 Plan require the option price per share be equivalent to the fair market value of the underlying common stock on the date of grant. Options under the 1991 Plan are for a term of ten years and are exercisable as determined by the Option Committee of the Board of Directors. The 1983 Executive Stock Option Plan (the "1983 Plan") expired in February 1993; therefore, no additional options may be granted. Options as to 48,804 shares of Common Stock are outstanding under the 1983 Plan at December 31, 1999. Options under the 1983 Plan are for a term of ten years and, generally, may be exercised in annual 20% installments beginning one year after grant. Under either plan, the Option Committee may waive the vesting period and permit options to be exercised immediately. There were 965,496 shares of common stock reserved for future grants as of December 31, 1999 under all stock option plans.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option transactions is shown below:</w:t>
      </w:r>
    </w:p>
    <w:p>
      <w:pPr>
        <w:spacing w:after="0" w:line="334" w:lineRule="exact"/>
        <w:rPr>
          <w:sz w:val="20"/>
          <w:szCs w:val="20"/>
          <w:color w:val="auto"/>
        </w:rPr>
      </w:pPr>
    </w:p>
    <w:p>
      <w:pPr>
        <w:ind w:left="3520"/>
        <w:spacing w:after="0"/>
        <w:tabs>
          <w:tab w:leader="none" w:pos="5720" w:val="left"/>
          <w:tab w:leader="none" w:pos="802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6" w:lineRule="exact"/>
        <w:rPr>
          <w:sz w:val="20"/>
          <w:szCs w:val="20"/>
          <w:color w:val="auto"/>
        </w:rPr>
      </w:pPr>
    </w:p>
    <w:p>
      <w:pPr>
        <w:ind w:left="2820"/>
        <w:spacing w:after="0"/>
        <w:tabs>
          <w:tab w:leader="none" w:pos="5120" w:val="left"/>
          <w:tab w:leader="none" w:pos="72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3760"/>
        <w:spacing w:after="0"/>
        <w:tabs>
          <w:tab w:leader="none" w:pos="6140" w:val="left"/>
          <w:tab w:leader="none" w:pos="8280" w:val="left"/>
        </w:tabs>
        <w:rPr>
          <w:sz w:val="20"/>
          <w:szCs w:val="20"/>
          <w:color w:val="auto"/>
        </w:rPr>
      </w:pP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6" w:lineRule="exact"/>
        <w:rPr>
          <w:sz w:val="20"/>
          <w:szCs w:val="20"/>
          <w:color w:val="auto"/>
        </w:rPr>
      </w:pPr>
    </w:p>
    <w:p>
      <w:pPr>
        <w:ind w:left="3860"/>
        <w:spacing w:after="0"/>
        <w:tabs>
          <w:tab w:leader="none" w:pos="6220" w:val="left"/>
          <w:tab w:leader="none" w:pos="844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6" w:lineRule="exact"/>
        <w:rPr>
          <w:sz w:val="20"/>
          <w:szCs w:val="20"/>
          <w:color w:val="auto"/>
        </w:rPr>
      </w:pPr>
    </w:p>
    <w:p>
      <w:pPr>
        <w:ind w:left="3860"/>
        <w:spacing w:after="0"/>
        <w:tabs>
          <w:tab w:leader="none" w:pos="6220" w:val="left"/>
          <w:tab w:leader="none" w:pos="8360" w:val="left"/>
        </w:tabs>
        <w:rPr>
          <w:sz w:val="20"/>
          <w:szCs w:val="20"/>
          <w:color w:val="auto"/>
        </w:rPr>
      </w:pP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EXERCISE</w:t>
      </w:r>
    </w:p>
    <w:p>
      <w:pPr>
        <w:spacing w:after="0" w:line="6" w:lineRule="exact"/>
        <w:rPr>
          <w:sz w:val="20"/>
          <w:szCs w:val="20"/>
          <w:color w:val="auto"/>
        </w:rPr>
      </w:pPr>
    </w:p>
    <w:p>
      <w:pPr>
        <w:ind w:left="3080"/>
        <w:spacing w:after="0"/>
        <w:tabs>
          <w:tab w:leader="none" w:pos="4080" w:val="left"/>
          <w:tab w:leader="none" w:pos="5280" w:val="left"/>
          <w:tab w:leader="none" w:pos="6400" w:val="left"/>
          <w:tab w:leader="none" w:pos="7500" w:val="left"/>
          <w:tab w:leader="none" w:pos="854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20"/>
                <w:szCs w:val="20"/>
                <w:color w:val="auto"/>
              </w:rPr>
            </w:pPr>
            <w:r>
              <w:rPr>
                <w:rFonts w:ascii="Courier New" w:cs="Courier New" w:eastAsia="Courier New" w:hAnsi="Courier New"/>
                <w:sz w:val="14"/>
                <w:szCs w:val="14"/>
                <w:color w:val="auto"/>
              </w:rPr>
              <w:t>Outstanding on January 1,</w:t>
            </w:r>
          </w:p>
        </w:tc>
        <w:tc>
          <w:tcPr>
            <w:tcW w:w="14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3,747,830</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$10.75</w:t>
            </w:r>
          </w:p>
        </w:tc>
        <w:tc>
          <w:tcPr>
            <w:tcW w:w="13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2,954,255</w:t>
            </w:r>
          </w:p>
        </w:tc>
        <w:tc>
          <w:tcPr>
            <w:tcW w:w="8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$8.47</w:t>
            </w:r>
          </w:p>
        </w:tc>
        <w:tc>
          <w:tcPr>
            <w:tcW w:w="1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2,247,797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$5.07</w:t>
            </w:r>
          </w:p>
        </w:tc>
      </w:tr>
      <w:tr>
        <w:trPr>
          <w:trHeight w:val="164"/>
        </w:trPr>
        <w:tc>
          <w:tcPr>
            <w:tcW w:w="26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4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703,000</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13.46</w:t>
            </w:r>
          </w:p>
        </w:tc>
        <w:tc>
          <w:tcPr>
            <w:tcW w:w="13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1,075,999</w:t>
            </w:r>
          </w:p>
        </w:tc>
        <w:tc>
          <w:tcPr>
            <w:tcW w:w="8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16.70</w:t>
            </w:r>
          </w:p>
        </w:tc>
        <w:tc>
          <w:tcPr>
            <w:tcW w:w="1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857,250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16.45</w:t>
            </w:r>
          </w:p>
        </w:tc>
      </w:tr>
      <w:tr>
        <w:trPr>
          <w:trHeight w:val="164"/>
        </w:trPr>
        <w:tc>
          <w:tcPr>
            <w:tcW w:w="26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4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(140,210)</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5.56</w:t>
            </w:r>
          </w:p>
        </w:tc>
        <w:tc>
          <w:tcPr>
            <w:tcW w:w="1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(205,874)</w:t>
            </w:r>
          </w:p>
        </w:tc>
        <w:tc>
          <w:tcPr>
            <w:tcW w:w="8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5.73</w:t>
            </w:r>
          </w:p>
        </w:tc>
        <w:tc>
          <w:tcPr>
            <w:tcW w:w="1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(143,080)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5.43</w:t>
            </w:r>
          </w:p>
        </w:tc>
      </w:tr>
      <w:tr>
        <w:trPr>
          <w:trHeight w:val="164"/>
        </w:trPr>
        <w:tc>
          <w:tcPr>
            <w:tcW w:w="262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4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(152,787)</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14.98</w:t>
            </w:r>
          </w:p>
        </w:tc>
        <w:tc>
          <w:tcPr>
            <w:tcW w:w="1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(76,550)</w:t>
            </w:r>
          </w:p>
        </w:tc>
        <w:tc>
          <w:tcPr>
            <w:tcW w:w="8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19.82</w:t>
            </w:r>
          </w:p>
        </w:tc>
        <w:tc>
          <w:tcPr>
            <w:tcW w:w="1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(7,712)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20"/>
                <w:szCs w:val="20"/>
                <w:color w:val="auto"/>
              </w:rPr>
            </w:pPr>
            <w:r>
              <w:rPr>
                <w:rFonts w:ascii="Courier New" w:cs="Courier New" w:eastAsia="Courier New" w:hAnsi="Courier New"/>
                <w:sz w:val="14"/>
                <w:szCs w:val="14"/>
                <w:color w:val="auto"/>
              </w:rPr>
              <w:t>At December 31,</w:t>
            </w:r>
          </w:p>
        </w:tc>
        <w:tc>
          <w:tcPr>
            <w:tcW w:w="1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4,157,833</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$11.23</w:t>
            </w:r>
          </w:p>
        </w:tc>
        <w:tc>
          <w:tcPr>
            <w:tcW w:w="12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3,747,830</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$10.75</w:t>
            </w:r>
          </w:p>
        </w:tc>
        <w:tc>
          <w:tcPr>
            <w:tcW w:w="12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2,954,255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Options exercisable at end of year  2,650,365</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$8.87</w:t>
            </w:r>
          </w:p>
        </w:tc>
        <w:tc>
          <w:tcPr>
            <w:tcW w:w="13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2,200,986</w:t>
            </w:r>
          </w:p>
        </w:tc>
        <w:tc>
          <w:tcPr>
            <w:tcW w:w="8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$6.97</w:t>
            </w:r>
          </w:p>
        </w:tc>
        <w:tc>
          <w:tcPr>
            <w:tcW w:w="12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1,822,109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4"/>
          <w:szCs w:val="14"/>
          <w:color w:val="auto"/>
        </w:rPr>
        <w:t>The following sets forth certain information with respect to those stock options at December 31, 1999:</w:t>
      </w:r>
    </w:p>
    <w:p>
      <w:pPr>
        <w:spacing w:after="0" w:line="326" w:lineRule="exact"/>
        <w:rPr>
          <w:sz w:val="20"/>
          <w:szCs w:val="20"/>
          <w:color w:val="auto"/>
        </w:rPr>
      </w:pPr>
    </w:p>
    <w:p>
      <w:pPr>
        <w:ind w:left="3340"/>
        <w:spacing w:after="0"/>
        <w:tabs>
          <w:tab w:leader="none" w:pos="6900" w:val="left"/>
        </w:tabs>
        <w:rPr>
          <w:sz w:val="20"/>
          <w:szCs w:val="20"/>
          <w:color w:val="auto"/>
        </w:rPr>
      </w:pPr>
      <w:r>
        <w:rPr>
          <w:rFonts w:ascii="Courier New" w:cs="Courier New" w:eastAsia="Courier New" w:hAnsi="Courier New"/>
          <w:sz w:val="14"/>
          <w:szCs w:val="14"/>
          <w:color w:val="auto"/>
        </w:rPr>
        <w:t>OPTIONS OUTSTANDING</w:t>
      </w:r>
      <w:r>
        <w:rPr>
          <w:sz w:val="20"/>
          <w:szCs w:val="20"/>
          <w:color w:val="auto"/>
        </w:rPr>
        <w:tab/>
      </w:r>
      <w:r>
        <w:rPr>
          <w:rFonts w:ascii="Courier New" w:cs="Courier New" w:eastAsia="Courier New" w:hAnsi="Courier New"/>
          <w:sz w:val="14"/>
          <w:szCs w:val="14"/>
          <w:color w:val="auto"/>
        </w:rPr>
        <w:t>OPTIONS EXERCISABLE</w:t>
      </w:r>
    </w:p>
    <w:p>
      <w:pPr>
        <w:spacing w:after="0" w:line="6" w:lineRule="exact"/>
        <w:rPr>
          <w:sz w:val="20"/>
          <w:szCs w:val="20"/>
          <w:color w:val="auto"/>
        </w:rPr>
      </w:pPr>
    </w:p>
    <w:p>
      <w:pPr>
        <w:ind w:left="2320"/>
        <w:spacing w:after="0"/>
        <w:tabs>
          <w:tab w:leader="none" w:pos="6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3860"/>
        <w:spacing w:after="0"/>
        <w:tabs>
          <w:tab w:leader="none" w:pos="5120" w:val="left"/>
          <w:tab w:leader="none" w:pos="8280" w:val="left"/>
        </w:tabs>
        <w:rPr>
          <w:sz w:val="20"/>
          <w:szCs w:val="20"/>
          <w:color w:val="auto"/>
        </w:rPr>
      </w:pP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6" w:lineRule="exact"/>
        <w:rPr>
          <w:sz w:val="20"/>
          <w:szCs w:val="20"/>
          <w:color w:val="auto"/>
        </w:rPr>
      </w:pPr>
    </w:p>
    <w:p>
      <w:pPr>
        <w:ind w:left="2480"/>
        <w:spacing w:after="0"/>
        <w:tabs>
          <w:tab w:leader="none" w:pos="4000" w:val="left"/>
          <w:tab w:leader="none" w:pos="5120" w:val="left"/>
          <w:tab w:leader="none" w:pos="6900" w:val="left"/>
          <w:tab w:leader="none" w:pos="84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p>
    <w:p>
      <w:pPr>
        <w:spacing w:after="0" w:line="6" w:lineRule="exact"/>
        <w:rPr>
          <w:sz w:val="20"/>
          <w:szCs w:val="20"/>
          <w:color w:val="auto"/>
        </w:rPr>
      </w:pPr>
    </w:p>
    <w:p>
      <w:pPr>
        <w:ind w:left="2320"/>
        <w:spacing w:after="0"/>
        <w:tabs>
          <w:tab w:leader="none" w:pos="4000" w:val="left"/>
          <w:tab w:leader="none" w:pos="5120" w:val="left"/>
          <w:tab w:leader="none" w:pos="6660" w:val="left"/>
          <w:tab w:leader="none" w:pos="8360" w:val="left"/>
        </w:tabs>
        <w:rPr>
          <w:sz w:val="20"/>
          <w:szCs w:val="20"/>
          <w:color w:val="auto"/>
        </w:rPr>
      </w:pPr>
      <w:r>
        <w:rPr>
          <w:rFonts w:ascii="Courier New" w:cs="Courier New" w:eastAsia="Courier New" w:hAnsi="Courier New"/>
          <w:sz w:val="14"/>
          <w:szCs w:val="14"/>
          <w:color w:val="auto"/>
        </w:rPr>
        <w:t>OUTSTANDING AT</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REMAINING</w:t>
      </w:r>
      <w:r>
        <w:rPr>
          <w:sz w:val="20"/>
          <w:szCs w:val="20"/>
          <w:color w:val="auto"/>
        </w:rPr>
        <w:tab/>
      </w:r>
      <w:r>
        <w:rPr>
          <w:rFonts w:ascii="Courier New" w:cs="Courier New" w:eastAsia="Courier New" w:hAnsi="Courier New"/>
          <w:sz w:val="14"/>
          <w:szCs w:val="14"/>
          <w:color w:val="auto"/>
        </w:rPr>
        <w:t>OUTSTANDING AT</w:t>
      </w:r>
      <w:r>
        <w:rPr>
          <w:sz w:val="20"/>
          <w:szCs w:val="20"/>
          <w:color w:val="auto"/>
        </w:rPr>
        <w:tab/>
      </w:r>
      <w:r>
        <w:rPr>
          <w:rFonts w:ascii="Courier New" w:cs="Courier New" w:eastAsia="Courier New" w:hAnsi="Courier New"/>
          <w:sz w:val="14"/>
          <w:szCs w:val="14"/>
          <w:color w:val="auto"/>
        </w:rPr>
        <w:t>EXERCISE</w:t>
      </w:r>
    </w:p>
    <w:p>
      <w:pPr>
        <w:spacing w:after="0" w:line="6" w:lineRule="exact"/>
        <w:rPr>
          <w:sz w:val="20"/>
          <w:szCs w:val="20"/>
          <w:color w:val="auto"/>
        </w:rPr>
      </w:pPr>
    </w:p>
    <w:p>
      <w:pPr>
        <w:ind w:left="2140"/>
        <w:spacing w:after="0"/>
        <w:tabs>
          <w:tab w:leader="none" w:pos="4180" w:val="left"/>
          <w:tab w:leader="none" w:pos="4940" w:val="left"/>
          <w:tab w:leader="none" w:pos="6480" w:val="left"/>
          <w:tab w:leader="none" w:pos="8360" w:val="left"/>
        </w:tabs>
        <w:rPr>
          <w:sz w:val="20"/>
          <w:szCs w:val="20"/>
          <w:color w:val="auto"/>
        </w:rPr>
      </w:pPr>
      <w:r>
        <w:rPr>
          <w:rFonts w:ascii="Courier New" w:cs="Courier New" w:eastAsia="Courier New" w:hAnsi="Courier New"/>
          <w:sz w:val="14"/>
          <w:szCs w:val="14"/>
          <w:color w:val="auto"/>
        </w:rPr>
        <w:t>DECEMBER 31, 1999</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CONTRACTUAL LIFE</w:t>
        <w:tab/>
        <w:t>DECEMBER 31, 1999</w:t>
      </w:r>
      <w:r>
        <w:rPr>
          <w:sz w:val="20"/>
          <w:szCs w:val="20"/>
          <w:color w:val="auto"/>
        </w:rPr>
        <w:tab/>
      </w:r>
      <w:r>
        <w:rPr>
          <w:rFonts w:ascii="Courier New" w:cs="Courier New" w:eastAsia="Courier New" w:hAnsi="Courier New"/>
          <w:sz w:val="14"/>
          <w:szCs w:val="14"/>
          <w:color w:val="auto"/>
        </w:rPr>
        <w:t>PRICE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 $5.00</w:t>
            </w:r>
          </w:p>
        </w:tc>
        <w:tc>
          <w:tcPr>
            <w:tcW w:w="1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1,356,545</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$3.85</w:t>
            </w:r>
          </w:p>
        </w:tc>
        <w:tc>
          <w:tcPr>
            <w:tcW w:w="12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3.2</w:t>
            </w:r>
          </w:p>
        </w:tc>
        <w:tc>
          <w:tcPr>
            <w:tcW w:w="1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1,354,856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r>
      <w:tr>
        <w:trPr>
          <w:trHeight w:val="164"/>
        </w:trPr>
        <w:tc>
          <w:tcPr>
            <w:tcW w:w="480" w:type="dxa"/>
            <w:vAlign w:val="bottom"/>
          </w:tcPr>
          <w:p>
            <w:pPr>
              <w:spacing w:after="0"/>
              <w:rPr>
                <w:sz w:val="20"/>
                <w:szCs w:val="20"/>
                <w:color w:val="auto"/>
              </w:rPr>
            </w:pPr>
            <w:r>
              <w:rPr>
                <w:rFonts w:ascii="Courier New" w:cs="Courier New" w:eastAsia="Courier New" w:hAnsi="Courier New"/>
                <w:sz w:val="14"/>
                <w:szCs w:val="14"/>
                <w:color w:val="auto"/>
              </w:rPr>
              <w:t>$5.01</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 $10.00</w:t>
            </w:r>
          </w:p>
        </w:tc>
        <w:tc>
          <w:tcPr>
            <w:tcW w:w="1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267,501</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7.29</w:t>
            </w:r>
          </w:p>
        </w:tc>
        <w:tc>
          <w:tcPr>
            <w:tcW w:w="12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6.2</w:t>
            </w:r>
          </w:p>
        </w:tc>
        <w:tc>
          <w:tcPr>
            <w:tcW w:w="1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249,301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7.20</w:t>
            </w:r>
          </w:p>
        </w:tc>
      </w:tr>
      <w:tr>
        <w:trPr>
          <w:trHeight w:val="164"/>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$10.01-$15.00</w:t>
            </w:r>
          </w:p>
        </w:tc>
        <w:tc>
          <w:tcPr>
            <w:tcW w:w="1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879,650</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13.51</w:t>
            </w:r>
          </w:p>
        </w:tc>
        <w:tc>
          <w:tcPr>
            <w:tcW w:w="12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8.7</w:t>
            </w:r>
          </w:p>
        </w:tc>
        <w:tc>
          <w:tcPr>
            <w:tcW w:w="1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178,584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13.65</w:t>
            </w:r>
          </w:p>
        </w:tc>
      </w:tr>
      <w:tr>
        <w:trPr>
          <w:trHeight w:val="164"/>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$15.01-$20.00</w:t>
            </w:r>
          </w:p>
        </w:tc>
        <w:tc>
          <w:tcPr>
            <w:tcW w:w="1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1,576,024</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16.45</w:t>
            </w:r>
          </w:p>
        </w:tc>
        <w:tc>
          <w:tcPr>
            <w:tcW w:w="12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7.8</w:t>
            </w:r>
          </w:p>
        </w:tc>
        <w:tc>
          <w:tcPr>
            <w:tcW w:w="1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842,949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16.05</w:t>
            </w:r>
          </w:p>
        </w:tc>
      </w:tr>
      <w:tr>
        <w:trPr>
          <w:trHeight w:val="164"/>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$20.01-$23.17</w:t>
            </w:r>
          </w:p>
        </w:tc>
        <w:tc>
          <w:tcPr>
            <w:tcW w:w="1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78,113</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22.03</w:t>
            </w:r>
          </w:p>
        </w:tc>
        <w:tc>
          <w:tcPr>
            <w:tcW w:w="12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7.7</w:t>
            </w:r>
          </w:p>
        </w:tc>
        <w:tc>
          <w:tcPr>
            <w:tcW w:w="1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24,675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2740"/>
        <w:spacing w:after="0"/>
        <w:tabs>
          <w:tab w:leader="none" w:pos="4080" w:val="left"/>
          <w:tab w:leader="none" w:pos="5380" w:val="left"/>
          <w:tab w:leader="none" w:pos="6820" w:val="left"/>
          <w:tab w:leader="none" w:pos="8620" w:val="left"/>
        </w:tabs>
        <w:rPr>
          <w:sz w:val="20"/>
          <w:szCs w:val="20"/>
          <w:color w:val="auto"/>
        </w:rPr>
      </w:pPr>
      <w:r>
        <w:rPr>
          <w:rFonts w:ascii="Courier New" w:cs="Courier New" w:eastAsia="Courier New" w:hAnsi="Courier New"/>
          <w:sz w:val="14"/>
          <w:szCs w:val="14"/>
          <w:color w:val="auto"/>
        </w:rPr>
        <w:t>4,157,833</w:t>
      </w:r>
      <w:r>
        <w:rPr>
          <w:sz w:val="20"/>
          <w:szCs w:val="20"/>
          <w:color w:val="auto"/>
        </w:rPr>
        <w:tab/>
      </w:r>
      <w:r>
        <w:rPr>
          <w:rFonts w:ascii="Courier New" w:cs="Courier New" w:eastAsia="Courier New" w:hAnsi="Courier New"/>
          <w:sz w:val="14"/>
          <w:szCs w:val="14"/>
          <w:color w:val="auto"/>
        </w:rPr>
        <w:t>$11.23</w:t>
      </w:r>
      <w:r>
        <w:rPr>
          <w:sz w:val="20"/>
          <w:szCs w:val="20"/>
          <w:color w:val="auto"/>
        </w:rPr>
        <w:tab/>
      </w: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2,650,365</w:t>
      </w:r>
      <w:r>
        <w:rPr>
          <w:sz w:val="20"/>
          <w:szCs w:val="20"/>
          <w:color w:val="auto"/>
        </w:rPr>
        <w:tab/>
      </w:r>
      <w:r>
        <w:rPr>
          <w:rFonts w:ascii="Courier New" w:cs="Courier New" w:eastAsia="Courier New" w:hAnsi="Courier New"/>
          <w:sz w:val="14"/>
          <w:szCs w:val="14"/>
          <w:color w:val="auto"/>
        </w:rPr>
        <w:t>$8.87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Purchase Plan</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Effective July 1, 1996, the Company adopted the Watsco, Inc. Qualified Employee Stock Purchase Plan under which full-time employees with at least 90 days of service may purchase up to an aggregate of 600,000 shares of the Company's Common Stock. The plan allows participating employees to purchase, through payroll deductions or lump-sum contribution, shares of the Company's Common Stock at 85% of the fair market value at specified times subject to certain restrictions. During 1999, 1998, and 1997 employees purchased 70,909, 163,123 and 79,887 shares of Common Stock at an average price of $11.52, $14.13 and $14.31 per share, respectively. At December 31, 1999, 152,031 shares remained available for purchase under the plan.</w:t>
      </w:r>
    </w:p>
    <w:p>
      <w:pPr>
        <w:spacing w:after="0" w:line="162"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accounts for its stock option plans and employee stock purchase plan in accordance with APB Opinion No. 25, "Accounting for Stock Issued to Employees" and related Interpretations. Accordingly, no compensation cost has been recognized in the consolidated statements of income. Had compensation cost for the Company's stock-based compensation plans been determined based on the fair market value at the grant dates for awards under the stock option plans and purchases under the employee stock</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159"/>
          </w:cols>
          <w:pgMar w:left="300" w:top="448" w:right="1440" w:bottom="1440" w:gutter="0" w:footer="0" w:header="0"/>
        </w:sectPr>
      </w:pPr>
    </w:p>
    <w:bookmarkStart w:id="29" w:name="page30"/>
    <w:bookmarkEnd w:id="29"/>
    <w:p>
      <w:pPr>
        <w:ind w:right="3739"/>
        <w:spacing w:after="0" w:line="251" w:lineRule="auto"/>
        <w:rPr>
          <w:sz w:val="20"/>
          <w:szCs w:val="20"/>
          <w:color w:val="auto"/>
        </w:rPr>
      </w:pPr>
      <w:r>
        <w:rPr>
          <w:rFonts w:ascii="Courier New" w:cs="Courier New" w:eastAsia="Courier New" w:hAnsi="Courier New"/>
          <w:sz w:val="14"/>
          <w:szCs w:val="14"/>
          <w:color w:val="auto"/>
        </w:rPr>
        <w:t>purchase plan consistent with the method of SFAS No. 123, the Company's pro forma net earnings and earnings per share would be as follows: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21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00" w:type="dxa"/>
            <w:vAlign w:val="bottom"/>
          </w:tcPr>
          <w:p>
            <w:pPr>
              <w:ind w:left="420"/>
              <w:spacing w:after="0"/>
              <w:rPr>
                <w:sz w:val="20"/>
                <w:szCs w:val="20"/>
                <w:color w:val="auto"/>
              </w:rPr>
            </w:pPr>
            <w:r>
              <w:rPr>
                <w:rFonts w:ascii="Courier New" w:cs="Courier New" w:eastAsia="Courier New" w:hAnsi="Courier New"/>
                <w:sz w:val="14"/>
                <w:szCs w:val="14"/>
                <w:color w:val="auto"/>
              </w:rPr>
              <w:t>As reported</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$29,481</w:t>
            </w:r>
          </w:p>
        </w:tc>
        <w:tc>
          <w:tcPr>
            <w:tcW w:w="13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$25,191</w:t>
            </w:r>
          </w:p>
        </w:tc>
        <w:tc>
          <w:tcPr>
            <w:tcW w:w="980" w:type="dxa"/>
            <w:vAlign w:val="bottom"/>
          </w:tcPr>
          <w:p>
            <w:pPr>
              <w:jc w:val="center"/>
              <w:ind w:left="309"/>
              <w:spacing w:after="0"/>
              <w:rPr>
                <w:sz w:val="20"/>
                <w:szCs w:val="20"/>
                <w:color w:val="auto"/>
              </w:rPr>
            </w:pPr>
            <w:r>
              <w:rPr>
                <w:rFonts w:ascii="Courier New" w:cs="Courier New" w:eastAsia="Courier New" w:hAnsi="Courier New"/>
                <w:sz w:val="14"/>
                <w:szCs w:val="14"/>
                <w:color w:val="auto"/>
              </w:rPr>
              <w:t>$18,357</w:t>
            </w:r>
          </w:p>
        </w:tc>
      </w:tr>
      <w:tr>
        <w:trPr>
          <w:trHeight w:val="164"/>
        </w:trPr>
        <w:tc>
          <w:tcPr>
            <w:tcW w:w="266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Courier New" w:cs="Courier New" w:eastAsia="Courier New" w:hAnsi="Courier New"/>
                <w:sz w:val="14"/>
                <w:szCs w:val="14"/>
                <w:color w:val="auto"/>
              </w:rPr>
              <w:t>Pro forma</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$25,823</w:t>
            </w:r>
          </w:p>
        </w:tc>
        <w:tc>
          <w:tcPr>
            <w:tcW w:w="13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$22,088</w:t>
            </w:r>
          </w:p>
        </w:tc>
        <w:tc>
          <w:tcPr>
            <w:tcW w:w="980" w:type="dxa"/>
            <w:vAlign w:val="bottom"/>
          </w:tcPr>
          <w:p>
            <w:pPr>
              <w:jc w:val="center"/>
              <w:ind w:left="309"/>
              <w:spacing w:after="0"/>
              <w:rPr>
                <w:sz w:val="20"/>
                <w:szCs w:val="20"/>
                <w:color w:val="auto"/>
              </w:rPr>
            </w:pPr>
            <w:r>
              <w:rPr>
                <w:rFonts w:ascii="Courier New" w:cs="Courier New" w:eastAsia="Courier New" w:hAnsi="Courier New"/>
                <w:sz w:val="14"/>
                <w:szCs w:val="14"/>
                <w:color w:val="auto"/>
              </w:rPr>
              <w:t>$16,422</w:t>
            </w:r>
          </w:p>
        </w:tc>
      </w:tr>
      <w:tr>
        <w:trPr>
          <w:trHeight w:val="329"/>
        </w:trPr>
        <w:tc>
          <w:tcPr>
            <w:tcW w:w="26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700" w:type="dxa"/>
            <w:vAlign w:val="bottom"/>
          </w:tcPr>
          <w:p>
            <w:pPr>
              <w:ind w:left="420"/>
              <w:spacing w:after="0"/>
              <w:rPr>
                <w:sz w:val="20"/>
                <w:szCs w:val="20"/>
                <w:color w:val="auto"/>
              </w:rPr>
            </w:pPr>
            <w:r>
              <w:rPr>
                <w:rFonts w:ascii="Courier New" w:cs="Courier New" w:eastAsia="Courier New" w:hAnsi="Courier New"/>
                <w:sz w:val="14"/>
                <w:szCs w:val="14"/>
                <w:color w:val="auto"/>
              </w:rPr>
              <w:t>As reported</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$1.03</w:t>
            </w:r>
          </w:p>
        </w:tc>
        <w:tc>
          <w:tcPr>
            <w:tcW w:w="13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$0.93</w:t>
            </w:r>
          </w:p>
        </w:tc>
        <w:tc>
          <w:tcPr>
            <w:tcW w:w="980" w:type="dxa"/>
            <w:vAlign w:val="bottom"/>
          </w:tcPr>
          <w:p>
            <w:pPr>
              <w:jc w:val="center"/>
              <w:ind w:left="289"/>
              <w:spacing w:after="0"/>
              <w:rPr>
                <w:sz w:val="20"/>
                <w:szCs w:val="20"/>
                <w:color w:val="auto"/>
              </w:rPr>
            </w:pPr>
            <w:r>
              <w:rPr>
                <w:rFonts w:ascii="Courier New" w:cs="Courier New" w:eastAsia="Courier New" w:hAnsi="Courier New"/>
                <w:sz w:val="14"/>
                <w:szCs w:val="14"/>
                <w:color w:val="auto"/>
                <w:w w:val="99"/>
              </w:rPr>
              <w:t>$0.73</w:t>
            </w:r>
          </w:p>
        </w:tc>
      </w:tr>
      <w:tr>
        <w:trPr>
          <w:trHeight w:val="164"/>
        </w:trPr>
        <w:tc>
          <w:tcPr>
            <w:tcW w:w="266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Courier New" w:cs="Courier New" w:eastAsia="Courier New" w:hAnsi="Courier New"/>
                <w:sz w:val="14"/>
                <w:szCs w:val="14"/>
                <w:color w:val="auto"/>
              </w:rPr>
              <w:t>Pro forma</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$0.91</w:t>
            </w:r>
          </w:p>
        </w:tc>
        <w:tc>
          <w:tcPr>
            <w:tcW w:w="13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$0.81</w:t>
            </w:r>
          </w:p>
        </w:tc>
        <w:tc>
          <w:tcPr>
            <w:tcW w:w="980" w:type="dxa"/>
            <w:vAlign w:val="bottom"/>
          </w:tcPr>
          <w:p>
            <w:pPr>
              <w:jc w:val="center"/>
              <w:ind w:left="289"/>
              <w:spacing w:after="0"/>
              <w:rPr>
                <w:sz w:val="20"/>
                <w:szCs w:val="20"/>
                <w:color w:val="auto"/>
              </w:rPr>
            </w:pPr>
            <w:r>
              <w:rPr>
                <w:rFonts w:ascii="Courier New" w:cs="Courier New" w:eastAsia="Courier New" w:hAnsi="Courier New"/>
                <w:sz w:val="14"/>
                <w:szCs w:val="14"/>
                <w:color w:val="auto"/>
                <w:w w:val="99"/>
              </w:rPr>
              <w:t>$0.65</w:t>
            </w:r>
          </w:p>
        </w:tc>
      </w:tr>
      <w:tr>
        <w:trPr>
          <w:trHeight w:val="329"/>
        </w:trPr>
        <w:tc>
          <w:tcPr>
            <w:tcW w:w="26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700" w:type="dxa"/>
            <w:vAlign w:val="bottom"/>
          </w:tcPr>
          <w:p>
            <w:pPr>
              <w:ind w:left="420"/>
              <w:spacing w:after="0"/>
              <w:rPr>
                <w:sz w:val="20"/>
                <w:szCs w:val="20"/>
                <w:color w:val="auto"/>
              </w:rPr>
            </w:pPr>
            <w:r>
              <w:rPr>
                <w:rFonts w:ascii="Courier New" w:cs="Courier New" w:eastAsia="Courier New" w:hAnsi="Courier New"/>
                <w:sz w:val="14"/>
                <w:szCs w:val="14"/>
                <w:color w:val="auto"/>
              </w:rPr>
              <w:t>As reported</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$0.99</w:t>
            </w:r>
          </w:p>
        </w:tc>
        <w:tc>
          <w:tcPr>
            <w:tcW w:w="13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$0.89</w:t>
            </w:r>
          </w:p>
        </w:tc>
        <w:tc>
          <w:tcPr>
            <w:tcW w:w="980" w:type="dxa"/>
            <w:vAlign w:val="bottom"/>
          </w:tcPr>
          <w:p>
            <w:pPr>
              <w:jc w:val="center"/>
              <w:ind w:left="289"/>
              <w:spacing w:after="0"/>
              <w:rPr>
                <w:sz w:val="20"/>
                <w:szCs w:val="20"/>
                <w:color w:val="auto"/>
              </w:rPr>
            </w:pPr>
            <w:r>
              <w:rPr>
                <w:rFonts w:ascii="Courier New" w:cs="Courier New" w:eastAsia="Courier New" w:hAnsi="Courier New"/>
                <w:sz w:val="14"/>
                <w:szCs w:val="14"/>
                <w:color w:val="auto"/>
                <w:w w:val="99"/>
              </w:rPr>
              <w:t>$0.68</w:t>
            </w:r>
          </w:p>
        </w:tc>
      </w:tr>
      <w:tr>
        <w:trPr>
          <w:trHeight w:val="164"/>
        </w:trPr>
        <w:tc>
          <w:tcPr>
            <w:tcW w:w="266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Courier New" w:cs="Courier New" w:eastAsia="Courier New" w:hAnsi="Courier New"/>
                <w:sz w:val="14"/>
                <w:szCs w:val="14"/>
                <w:color w:val="auto"/>
              </w:rPr>
              <w:t>Pro forma</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$0.87</w:t>
            </w:r>
          </w:p>
        </w:tc>
        <w:tc>
          <w:tcPr>
            <w:tcW w:w="13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$0.78</w:t>
            </w:r>
          </w:p>
        </w:tc>
        <w:tc>
          <w:tcPr>
            <w:tcW w:w="980" w:type="dxa"/>
            <w:vAlign w:val="bottom"/>
          </w:tcPr>
          <w:p>
            <w:pPr>
              <w:jc w:val="center"/>
              <w:ind w:left="289"/>
              <w:spacing w:after="0"/>
              <w:rPr>
                <w:sz w:val="20"/>
                <w:szCs w:val="20"/>
                <w:color w:val="auto"/>
              </w:rPr>
            </w:pPr>
            <w:r>
              <w:rPr>
                <w:rFonts w:ascii="Courier New" w:cs="Courier New" w:eastAsia="Courier New" w:hAnsi="Courier New"/>
                <w:sz w:val="14"/>
                <w:szCs w:val="14"/>
                <w:color w:val="auto"/>
                <w:w w:val="99"/>
              </w:rPr>
              <w:t>$0.61</w:t>
            </w:r>
          </w:p>
        </w:tc>
      </w:tr>
    </w:tbl>
    <w:p>
      <w:pPr>
        <w:spacing w:after="0" w:line="332"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Company's pro forma information above is not representative of the pro forma effect of the fair value provisions of SFAS No. 123 on the Company's net income in future years because pro forma compensation expense related to grants made prior to 1995 may not be taken into consideration.</w:t>
      </w:r>
    </w:p>
    <w:p>
      <w:pPr>
        <w:spacing w:after="0" w:line="163" w:lineRule="exact"/>
        <w:rPr>
          <w:sz w:val="20"/>
          <w:szCs w:val="20"/>
          <w:color w:val="auto"/>
        </w:rPr>
      </w:pPr>
    </w:p>
    <w:p>
      <w:pPr>
        <w:ind w:right="3659"/>
        <w:spacing w:after="0" w:line="249" w:lineRule="auto"/>
        <w:rPr>
          <w:sz w:val="20"/>
          <w:szCs w:val="20"/>
          <w:color w:val="auto"/>
        </w:rPr>
      </w:pPr>
      <w:r>
        <w:rPr>
          <w:rFonts w:ascii="Courier New" w:cs="Courier New" w:eastAsia="Courier New" w:hAnsi="Courier New"/>
          <w:sz w:val="14"/>
          <w:szCs w:val="14"/>
          <w:color w:val="auto"/>
        </w:rPr>
        <w:t>The weighted-average fair value at date of grant for stock options granted during 1999, 1998 and 1997 was $7.64, $8.19 and $7.67, respectively, and was estimated using the Black-Scholes option valuation model with the following weighted-average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6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1998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Courier New" w:cs="Courier New" w:eastAsia="Courier New" w:hAnsi="Courier New"/>
                <w:sz w:val="14"/>
                <w:szCs w:val="14"/>
                <w:color w:val="auto"/>
              </w:rPr>
              <w:t>Expected life in years</w:t>
            </w:r>
          </w:p>
        </w:tc>
        <w:tc>
          <w:tcPr>
            <w:tcW w:w="17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8.2</w:t>
            </w:r>
          </w:p>
        </w:tc>
        <w:tc>
          <w:tcPr>
            <w:tcW w:w="10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6.0</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w:t>
            </w:r>
          </w:p>
        </w:tc>
      </w:tr>
      <w:tr>
        <w:trPr>
          <w:trHeight w:val="164"/>
        </w:trPr>
        <w:tc>
          <w:tcPr>
            <w:tcW w:w="292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7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6.1%</w:t>
            </w: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4"/>
        </w:trPr>
        <w:tc>
          <w:tcPr>
            <w:tcW w:w="2920" w:type="dxa"/>
            <w:vAlign w:val="bottom"/>
          </w:tcPr>
          <w:p>
            <w:pPr>
              <w:spacing w:after="0"/>
              <w:rPr>
                <w:sz w:val="20"/>
                <w:szCs w:val="20"/>
                <w:color w:val="auto"/>
              </w:rPr>
            </w:pPr>
            <w:r>
              <w:rPr>
                <w:rFonts w:ascii="Courier New" w:cs="Courier New" w:eastAsia="Courier New" w:hAnsi="Courier New"/>
                <w:sz w:val="14"/>
                <w:szCs w:val="14"/>
                <w:color w:val="auto"/>
              </w:rPr>
              <w:t>Expected volatility</w:t>
            </w:r>
          </w:p>
        </w:tc>
        <w:tc>
          <w:tcPr>
            <w:tcW w:w="17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43.3%</w:t>
            </w: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43.3%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42.0%</w:t>
            </w:r>
          </w:p>
        </w:tc>
      </w:tr>
      <w:tr>
        <w:trPr>
          <w:trHeight w:val="164"/>
        </w:trPr>
        <w:tc>
          <w:tcPr>
            <w:tcW w:w="292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17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0.5%</w:t>
            </w: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168" w:lineRule="exact"/>
        <w:rPr>
          <w:sz w:val="20"/>
          <w:szCs w:val="20"/>
          <w:color w:val="auto"/>
        </w:rPr>
      </w:pPr>
    </w:p>
    <w:p>
      <w:pPr>
        <w:ind w:right="3659"/>
        <w:spacing w:after="0" w:line="249" w:lineRule="auto"/>
        <w:rPr>
          <w:sz w:val="20"/>
          <w:szCs w:val="20"/>
          <w:color w:val="auto"/>
        </w:rPr>
      </w:pPr>
      <w:r>
        <w:rPr>
          <w:rFonts w:ascii="Courier New" w:cs="Courier New" w:eastAsia="Courier New" w:hAnsi="Courier New"/>
          <w:sz w:val="14"/>
          <w:szCs w:val="14"/>
          <w:color w:val="auto"/>
        </w:rPr>
        <w:t>The weighted-average fair value of shares purchased under the employee stock purchase plan was determined using the per share quoted market value of the Common Stock used in determining the purchase price to plan participants, excluding any discount.</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expected stock price volatility. The Company's stock-based compensation arrangements have characteristics significantly different from those of traded options, and changes in the subjective input assumptions used in valuation models can materially affect the fair value estimate. As a result, the existing models may not necessarily provide a reliable single measure of the fair value of its stock-based compensation.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During 1999, 1998 and 1997 certain employees were granted an aggregate of 93,000, 127,500, and 240,000 shares, respectively, of the Company's common stock, subject to certain significant restrictions. The restrictions lapse upon attainment of retirement age or under other circumstances. During 1998, 48,750 shares were forfeited upon termination of an employee. The unearned compensation resulting from the grant of restricted shares is reported as a reduction to shareholders' equity in the consolidated balance sheets and is being amortized to earnings over the period from date of issuance to the respective retirement age of each employee. Total amortization expense related to the restricted shares amounted to $349, $252 and $172 for the years ended December 31, 1999, 1998 and 1997,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401(k) Plan</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has a profit sharing retirement plan for its employees that is qualified under Section 401(k) of the Internal Revenue Code. The Company makes an annual matching contribution based on a percentage of eligible employee compensation deferrals. The contribution is made in cash or by the issuance of the Company's Common Stock to the plan on behalf of its employees. For the years ended December 31, 1999, 1998 and 1997, the aggregate contribution to the plan was $893, $790 and $457, respectively.</w:t>
      </w:r>
    </w:p>
    <w:p>
      <w:pPr>
        <w:spacing w:after="0" w:line="163" w:lineRule="exact"/>
        <w:rPr>
          <w:sz w:val="20"/>
          <w:szCs w:val="20"/>
          <w:color w:val="auto"/>
        </w:rPr>
      </w:pPr>
    </w:p>
    <w:p>
      <w:pPr>
        <w:ind w:left="440" w:hanging="432"/>
        <w:spacing w:after="0"/>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 has completed various acquisitions, all of which have been accounted for under the purchase method of accounting. Accordingly, their results of operations have been included in the consolidated statements of income beginning on their respective dates of acquisition.</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159"/>
          </w:cols>
          <w:pgMar w:left="300" w:top="612" w:right="1440" w:bottom="1440" w:gutter="0" w:footer="0" w:header="0"/>
        </w:sectPr>
      </w:pPr>
    </w:p>
    <w:bookmarkStart w:id="30" w:name="page31"/>
    <w:bookmarkEnd w:id="30"/>
    <w:p>
      <w:pPr>
        <w:ind w:right="3319"/>
        <w:spacing w:after="0" w:line="249" w:lineRule="auto"/>
        <w:rPr>
          <w:sz w:val="20"/>
          <w:szCs w:val="20"/>
          <w:color w:val="auto"/>
        </w:rPr>
      </w:pPr>
      <w:r>
        <w:rPr>
          <w:rFonts w:ascii="Courier New" w:cs="Courier New" w:eastAsia="Courier New" w:hAnsi="Courier New"/>
          <w:sz w:val="14"/>
          <w:szCs w:val="14"/>
          <w:color w:val="auto"/>
        </w:rPr>
        <w:t>During 1999, the Company completed the acquisition of six wholesale distributors of air conditioning and heating products and one staffing service franchise for cash consideration of $26,440 (net of cash acquired), including repayment of debt totaling $4,592, the issuance of a $6,098 promissory note and 842,569 shares of Common Stock having a fair value of $9,350.</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During 1998, the Company completed the acquisition of 11 wholesale distributors of air conditioning and heating products and six staffing service franchises for cash consideration of $24,944 (net of cash acquired) and the issuance of 1,397,041 shares of Common Stock having a fair value of $23,931.</w:t>
      </w:r>
    </w:p>
    <w:p>
      <w:pPr>
        <w:spacing w:after="0" w:line="163"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4"/>
          <w:szCs w:val="14"/>
          <w:color w:val="auto"/>
        </w:rPr>
        <w:t>The unaudited pro forma information of the Company as if the above acquisitions had occurred on January 1, 1998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2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1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$1,282,621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$1,225,881</w:t>
            </w:r>
          </w:p>
        </w:tc>
      </w:tr>
      <w:tr>
        <w:trPr>
          <w:trHeight w:val="164"/>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1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$32,175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$32,061</w:t>
            </w:r>
          </w:p>
        </w:tc>
      </w:tr>
      <w:tr>
        <w:trPr>
          <w:trHeight w:val="164"/>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Diluted earnings per share from continuing operations</w:t>
            </w:r>
          </w:p>
        </w:tc>
        <w:tc>
          <w:tcPr>
            <w:tcW w:w="11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bl>
    <w:p>
      <w:pPr>
        <w:spacing w:after="0" w:line="168"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unaudited pro forma information is not necessarily indicative of either the results of operations that would have occurred had the above companies been acquired on January 1, 1998 for the years presented or of future results of operations.</w:t>
      </w:r>
    </w:p>
    <w:p>
      <w:pPr>
        <w:spacing w:after="0" w:line="163"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4"/>
          <w:szCs w:val="14"/>
          <w:color w:val="auto"/>
        </w:rPr>
        <w:t>The preliminary purchase price allocations for business combinations for the years ended December 31 were as follows:</w:t>
      </w:r>
    </w:p>
    <w:p>
      <w:pPr>
        <w:spacing w:after="0" w:line="200" w:lineRule="exact"/>
        <w:rPr>
          <w:sz w:val="20"/>
          <w:szCs w:val="20"/>
          <w:color w:val="auto"/>
        </w:rPr>
      </w:pPr>
    </w:p>
    <w:p>
      <w:pPr>
        <w:spacing w:after="0" w:line="290" w:lineRule="exact"/>
        <w:rPr>
          <w:sz w:val="20"/>
          <w:szCs w:val="20"/>
          <w:color w:val="auto"/>
        </w:rPr>
      </w:pPr>
    </w:p>
    <w:p>
      <w:pPr>
        <w:ind w:left="4360"/>
        <w:spacing w:after="0"/>
        <w:tabs>
          <w:tab w:leader="none" w:pos="5880" w:val="left"/>
          <w:tab w:leader="none" w:pos="73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$13,453</w:t>
            </w:r>
          </w:p>
        </w:tc>
        <w:tc>
          <w:tcPr>
            <w:tcW w:w="14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$18,644</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$42,662</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9,941</w:t>
            </w:r>
          </w:p>
        </w:tc>
        <w:tc>
          <w:tcPr>
            <w:tcW w:w="14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16,988</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62,608</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1,625</w:t>
            </w:r>
          </w:p>
        </w:tc>
        <w:tc>
          <w:tcPr>
            <w:tcW w:w="14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4,697</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9,969</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24,413</w:t>
            </w:r>
          </w:p>
        </w:tc>
        <w:tc>
          <w:tcPr>
            <w:tcW w:w="14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33,337</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56,818</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1,629</w:t>
            </w:r>
          </w:p>
        </w:tc>
        <w:tc>
          <w:tcPr>
            <w:tcW w:w="14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915</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2,182</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16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(9,173)</w:t>
            </w:r>
          </w:p>
        </w:tc>
        <w:tc>
          <w:tcPr>
            <w:tcW w:w="14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(17,570)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(36,682)</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6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(6,098)</w:t>
            </w:r>
          </w:p>
        </w:tc>
        <w:tc>
          <w:tcPr>
            <w:tcW w:w="14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(8,136)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(13,684)</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(2,413)</w:t>
            </w:r>
          </w:p>
        </w:tc>
      </w:tr>
      <w:tr>
        <w:trPr>
          <w:trHeight w:val="164"/>
        </w:trPr>
        <w:tc>
          <w:tcPr>
            <w:tcW w:w="3760" w:type="dxa"/>
            <w:vAlign w:val="bottom"/>
          </w:tcPr>
          <w:p>
            <w:pPr>
              <w:spacing w:after="0"/>
              <w:rPr>
                <w:sz w:val="20"/>
                <w:szCs w:val="20"/>
                <w:color w:val="auto"/>
              </w:rPr>
            </w:pPr>
            <w:r>
              <w:rPr>
                <w:rFonts w:ascii="Courier New" w:cs="Courier New" w:eastAsia="Courier New" w:hAnsi="Courier New"/>
                <w:sz w:val="14"/>
                <w:szCs w:val="14"/>
                <w:color w:val="auto"/>
              </w:rPr>
              <w:t>Fair value of common stock issued</w:t>
            </w:r>
          </w:p>
        </w:tc>
        <w:tc>
          <w:tcPr>
            <w:tcW w:w="16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(9,350)</w:t>
            </w:r>
          </w:p>
        </w:tc>
        <w:tc>
          <w:tcPr>
            <w:tcW w:w="14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(23,931)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(1,427)</w:t>
            </w:r>
          </w:p>
        </w:tc>
      </w:tr>
    </w:tbl>
    <w:p>
      <w:pPr>
        <w:spacing w:after="0" w:line="4"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used in acquisitions, net of</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20"/>
                <w:szCs w:val="20"/>
                <w:color w:val="auto"/>
              </w:rPr>
            </w:pPr>
            <w:r>
              <w:rPr>
                <w:rFonts w:ascii="Courier New" w:cs="Courier New" w:eastAsia="Courier New" w:hAnsi="Courier New"/>
                <w:sz w:val="14"/>
                <w:szCs w:val="14"/>
                <w:color w:val="auto"/>
              </w:rPr>
              <w:t>cash acquired</w:t>
            </w:r>
          </w:p>
        </w:tc>
        <w:tc>
          <w:tcPr>
            <w:tcW w:w="26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$26,440</w:t>
            </w:r>
          </w:p>
        </w:tc>
        <w:tc>
          <w:tcPr>
            <w:tcW w:w="14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$24,944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$120,033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left="440" w:hanging="432"/>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The authorized capital stock of the Company is 40,000,000 shares of Common Stock and 4,000,000 shares of Class B Common Stock. Common Stock and Class B Common Stock share equally in the earnings of the Company and are identical in most other respects except (i) Common Stock has limited voting rights, each share of Common Stock being entitled to one vote on most matters and each share of Class B Common Stock being entitled to ten votes; (ii) shareholders of Common Stock are entitled to elect 25% of the Board of Directors (rounded up to the nearest whole number) and Class B shareholders are entitled to elect the balance of the Board of Directors; (iii) cash dividends may be paid on Common Stock without paying a cash dividend on Class B Common Stock and no cash dividend may be paid on Class B Common Stock unless at least an equal cash dividend is paid on Common Stock and (iv) Class B Common Stock is convertible at any time into Common Stock on a one-for-one basis at the option of the shareholder.</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In September of 1999, the Company's Board of Directors authorized the repurchase, at management's discretion, of up to 1,500,000 shares of the Company's stock in the open market or via private transactions. Shares repurchased under the program are accounted for using the cost method and result in a reduction of shareholders' equity. As of December 31, 1999, the Company had purchased 1,346,200 shares at a cost of $14,321.</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On July 13, 1998, the Company's Board of Directors authorized a three-for-two stock split for both classes of the Company's common stock effected in the form of a 50% stock dividend payable on August 14, 1998 to shareholders of record as of July 31, 1998. Shareholders' equity has been restated to give retroactive effect to the stock splits for all periods presented by reclassifying from retained earnings or paid-in capital to the common stock accounts the par value of the additional shares arising from the splits. In addition, all references in the consolidated financial statements and notes thereto to number of shares, per share amounts, stock option data and market prices of both classes of the Company's common stock have been restated.</w:t>
      </w:r>
    </w:p>
    <w:p>
      <w:pPr>
        <w:spacing w:after="0" w:line="16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159"/>
          </w:cols>
          <w:pgMar w:left="300" w:top="612" w:right="1440" w:bottom="1440" w:gutter="0" w:footer="0" w:header="0"/>
        </w:sectPr>
      </w:pPr>
    </w:p>
    <w:bookmarkStart w:id="31" w:name="page32"/>
    <w:bookmarkEnd w:id="31"/>
    <w:p>
      <w:pPr>
        <w:ind w:right="7579" w:firstLine="8"/>
        <w:spacing w:after="0" w:line="497" w:lineRule="auto"/>
        <w:tabs>
          <w:tab w:leader="none" w:pos="513"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Recorded Financial Instruments</w:t>
      </w:r>
    </w:p>
    <w:p>
      <w:pPr>
        <w:ind w:right="3739"/>
        <w:spacing w:after="0" w:line="249" w:lineRule="auto"/>
        <w:rPr>
          <w:sz w:val="20"/>
          <w:szCs w:val="20"/>
          <w:color w:val="auto"/>
        </w:rPr>
      </w:pPr>
      <w:r>
        <w:rPr>
          <w:rFonts w:ascii="Courier New" w:cs="Courier New" w:eastAsia="Courier New" w:hAnsi="Courier New"/>
          <w:sz w:val="14"/>
          <w:szCs w:val="14"/>
          <w:color w:val="auto"/>
        </w:rPr>
        <w:t>The Company's recorded financial instruments consist of cash and cash equivalents, accounts receivable, accounts payable, the current portion of long-term obligations, borrowings under revolving credit agreement and debt instruments included in other long-term obligations.</w:t>
      </w:r>
    </w:p>
    <w:p>
      <w:pPr>
        <w:spacing w:after="0" w:line="163"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At December 31, 1999 and 1998, the fair values of cash and cash equivalents, accounts receivable, accounts payable and the current portion of long-term obligations approximated their carrying values due to the short term nature of these instruments.</w:t>
      </w:r>
    </w:p>
    <w:p>
      <w:pPr>
        <w:spacing w:after="0" w:line="163"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fair values of borrowings under the revolving credit agreement and debt instruments included in long-term obligations also approximate their carrying value based upon interest rates available to the Company for similar instruments with consistent terms and remaining maturities.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Financial Instruments</w:t>
      </w:r>
    </w:p>
    <w:p>
      <w:pPr>
        <w:spacing w:after="0" w:line="170"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The Company uses interest rate swaps to alter the interest rate risk profile related to outstanding borrowings under its revolving credit agreement, thereby altering the Company's exposure to changes in interest rates. The swap agreements exchange the variable rate of LIBOR plus the spread on its revolving credit agreement to fixed interest rate payments ranging from 6.25% to 6.49% in 1999 and 1998. At December 31, 1999, the Company's interest rate swap portfolio consisted of several swaps aggregating a notional value of $60,000 and maturity dates ranging from 2002 to 2007 and a single swap with a notional value of $70,000 that matured on January 26, 2000 and was used to hedge a short-term interest rate increase related to the Year 2000 systems issue. At December 31, 1998, the Company's interest rate swap portfolio consisted of several swaps totaling a notional value of $100,000 and maturity dates ranging from 2002 to 2007. The Company's interest rate swap portfolio had a negative fair value of $48 and $6,000 as of December 31, 1999 and 1998, respectively.</w:t>
      </w:r>
    </w:p>
    <w:p>
      <w:pPr>
        <w:spacing w:after="0" w:line="171"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At December 31, 1999 and 1998, respectively, the Company is contingently liable under standby letters of credit aggregating approximately $7,292 and $1,400 that were primarily used as collateral for promissory notes issued in connection with certain acquisitions. The Company does not expect any material losses to result from the issuance of the standby letters of credit because performance is not expected to be required. Accordingly, the estimated fair value of these instruments is zero.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 of Credit Risk</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cash investments and accounts receivable. The Company places its temporary cash investments with high credit quality financial institutions and limits the amount of credit exposure to any one financial institution or investment. Concentrations of credit risk with respect to accounts receivable are limited due to the large number of customers comprising the Company's customer base and their dispersion across many different geographical regions. The Company establishes and monitors an allowance for doubtful accounts based on the credit risk of specific customers, historical trends and other information. At December 31, 1999 and 1998, the allowance for doubtful accounts was $5,564 and $6,716, respectively. Although the Company believes its allowance is sufficient, the amount the Company ultimately realizes could differ materially in the near-term from the amount reported above.</w:t>
      </w:r>
    </w:p>
    <w:p>
      <w:pPr>
        <w:spacing w:after="0" w:line="334" w:lineRule="exact"/>
        <w:rPr>
          <w:sz w:val="20"/>
          <w:szCs w:val="20"/>
          <w:color w:val="auto"/>
        </w:rPr>
      </w:pPr>
    </w:p>
    <w:p>
      <w:pPr>
        <w:ind w:left="440" w:hanging="432"/>
        <w:spacing w:after="0"/>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At December 31, 1999, the Company is obligated under non-cancelable operating leases of real property and equipment used in its continuing operations for minimum annual rentals as follows: $27,238 in 2000, $22,317 in 2001, $18,717 in 2002, $14,089 in 2003, $9,587 in 2004 and $40,790 thereafter. Rental expense for continuing operations for the years ended December 31, 1999, 1998 and 1997 was $25,831, $21,911 and $12,699, respectively.</w:t>
      </w:r>
    </w:p>
    <w:p>
      <w:pPr>
        <w:spacing w:after="0" w:line="163"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The Company and its subsidiaries are involved in litigation incidental to the operation of the Company's business. The Company vigorously defends all matters in which the Company or its subsidiaries are named defendants and, for insurable losses, maintains significant levels of insurance to protect against adverse judgments, claims or assessments that may affect the Company. In the opinion of the Company, although the adequacy of existing insurance coverage or the outcome of any legal proceedings cannot be predicted with certainty, the ultimate liability associated with any claims or litigation in which the Company or its subsidiaries are involved will not materially affect the Company's financial condition but could be material to the results of operations in any one accounting period.</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159"/>
          </w:cols>
          <w:pgMar w:left="300" w:top="612" w:right="1440" w:bottom="1440" w:gutter="0" w:footer="0" w:header="0"/>
        </w:sectPr>
      </w:pPr>
    </w:p>
    <w:bookmarkStart w:id="32" w:name="page33"/>
    <w:bookmarkEnd w:id="32"/>
    <w:p>
      <w:pPr>
        <w:ind w:left="600" w:hanging="592"/>
        <w:spacing w:after="0"/>
        <w:tabs>
          <w:tab w:leader="none" w:pos="6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The Company's primary business is the operation of a distribution network selling air conditioning, heating and refrigeration equipment and related parts and supplies. The Company also operates Dunhill, a national temporary staffing and permanent employment services business, which is immaterial to the Company's financial results, net assets and net cash flows. Accordingly, there is no segment information reportable in these notes to the financial statements.</w:t>
      </w:r>
    </w:p>
    <w:p>
      <w:pPr>
        <w:spacing w:after="0" w:line="163" w:lineRule="exact"/>
        <w:rPr>
          <w:sz w:val="20"/>
          <w:szCs w:val="20"/>
          <w:color w:val="auto"/>
        </w:rPr>
      </w:pPr>
    </w:p>
    <w:p>
      <w:pPr>
        <w:ind w:left="600" w:hanging="592"/>
        <w:spacing w:after="0"/>
        <w:tabs>
          <w:tab w:leader="none" w:pos="6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EVENTS</w:t>
      </w:r>
    </w:p>
    <w:p>
      <w:pPr>
        <w:spacing w:after="0" w:line="17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On January 31, 2000, the Company entered into a $125,000 private placement shelf facility. The uncommitted loan facility provides Watsco a source of long term, fixed-rate financing as a complement to the variable rate borrowings available under its existing revolving credit facility.</w:t>
      </w:r>
    </w:p>
    <w:p>
      <w:pPr>
        <w:spacing w:after="0" w:line="163" w:lineRule="exact"/>
        <w:rPr>
          <w:sz w:val="20"/>
          <w:szCs w:val="20"/>
          <w:color w:val="auto"/>
        </w:rPr>
      </w:pPr>
    </w:p>
    <w:p>
      <w:pPr>
        <w:ind w:right="3579"/>
        <w:spacing w:after="0" w:line="250" w:lineRule="auto"/>
        <w:rPr>
          <w:sz w:val="20"/>
          <w:szCs w:val="20"/>
          <w:color w:val="auto"/>
        </w:rPr>
      </w:pPr>
      <w:r>
        <w:rPr>
          <w:rFonts w:ascii="Courier New" w:cs="Courier New" w:eastAsia="Courier New" w:hAnsi="Courier New"/>
          <w:sz w:val="14"/>
          <w:szCs w:val="14"/>
          <w:color w:val="auto"/>
        </w:rPr>
        <w:t>On February 7, 2000, the Company's Board of Directors authorized, at the discretion of the Company's management, an additional repurchase of 1,500,000 shares under the Company's Stock repurchase program described in Note 9.</w:t>
      </w:r>
    </w:p>
    <w:p>
      <w:pPr>
        <w:spacing w:after="0" w:line="16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159"/>
          </w:cols>
          <w:pgMar w:left="300" w:top="612" w:right="1440" w:bottom="1440" w:gutter="0" w:footer="0" w:header="0"/>
        </w:sectPr>
      </w:pPr>
    </w:p>
    <w:bookmarkStart w:id="33" w:name="page34"/>
    <w:bookmarkEnd w:id="33"/>
    <w:p>
      <w:pPr>
        <w:ind w:left="1280"/>
        <w:spacing w:after="0"/>
        <w:rPr>
          <w:sz w:val="20"/>
          <w:szCs w:val="20"/>
          <w:color w:val="auto"/>
        </w:rPr>
      </w:pPr>
      <w:r>
        <w:rPr>
          <w:rFonts w:ascii="Courier New" w:cs="Courier New" w:eastAsia="Courier New" w:hAnsi="Courier New"/>
          <w:sz w:val="14"/>
          <w:szCs w:val="14"/>
          <w:color w:val="auto"/>
        </w:rPr>
        <w:t>REPORT OF INDEPENDENT CERTIFIED PUBLIC ACCOUNTANTS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Watsco, Inc.:</w:t>
      </w:r>
    </w:p>
    <w:p>
      <w:pPr>
        <w:spacing w:after="0" w:line="170" w:lineRule="exact"/>
        <w:rPr>
          <w:sz w:val="20"/>
          <w:szCs w:val="20"/>
          <w:color w:val="auto"/>
        </w:rPr>
      </w:pPr>
    </w:p>
    <w:p>
      <w:pPr>
        <w:ind w:right="3399" w:firstLine="256"/>
        <w:spacing w:after="0" w:line="249" w:lineRule="auto"/>
        <w:rPr>
          <w:sz w:val="20"/>
          <w:szCs w:val="20"/>
          <w:color w:val="auto"/>
        </w:rPr>
      </w:pPr>
      <w:r>
        <w:rPr>
          <w:rFonts w:ascii="Courier New" w:cs="Courier New" w:eastAsia="Courier New" w:hAnsi="Courier New"/>
          <w:sz w:val="14"/>
          <w:szCs w:val="14"/>
          <w:color w:val="auto"/>
        </w:rPr>
        <w:t>We have audited the accompanying consolidated balance sheets of Watsco, Inc. (a Florida corporation) and subsidiaries as of December 31, 1999 and 1998, and the related consolidated statements of income, shareholders'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63" w:lineRule="exact"/>
        <w:rPr>
          <w:sz w:val="20"/>
          <w:szCs w:val="20"/>
          <w:color w:val="auto"/>
        </w:rPr>
      </w:pPr>
    </w:p>
    <w:p>
      <w:pPr>
        <w:ind w:right="3319" w:firstLine="256"/>
        <w:spacing w:after="0" w:line="249"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2" w:lineRule="exact"/>
        <w:rPr>
          <w:sz w:val="20"/>
          <w:szCs w:val="20"/>
          <w:color w:val="auto"/>
        </w:rPr>
      </w:pPr>
    </w:p>
    <w:p>
      <w:pPr>
        <w:ind w:right="3319" w:firstLine="256"/>
        <w:spacing w:after="0" w:line="249"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Watsco, Inc. and subsidiaries as of December 31, 1999 and 1998, and the results of their operations and their cash flows for each of the three years in the period ended December 31, 1999 in conformity with accounting principles generally accepted in the United States.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Miami, Florida,</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February 5, 2000 (except with respect to the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matters discussed in Note 13, as to which the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date is February 7, 2000).</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159"/>
          </w:cols>
          <w:pgMar w:left="300" w:top="61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WATSCO, INC. AND SUBSIDIARIES</w:t>
      </w:r>
    </w:p>
    <w:p>
      <w:pPr>
        <w:spacing w:after="0" w:line="170"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QUARTERLY FINANCIAL DATA (UNAUDITED)</w:t>
      </w:r>
    </w:p>
    <w:p>
      <w:pPr>
        <w:spacing w:after="0" w:line="200" w:lineRule="exact"/>
        <w:rPr>
          <w:sz w:val="20"/>
          <w:szCs w:val="20"/>
          <w:color w:val="auto"/>
        </w:rPr>
      </w:pPr>
    </w:p>
    <w:p>
      <w:pPr>
        <w:spacing w:after="0" w:line="299" w:lineRule="exact"/>
        <w:rPr>
          <w:sz w:val="20"/>
          <w:szCs w:val="20"/>
          <w:color w:val="auto"/>
        </w:rPr>
      </w:pPr>
    </w:p>
    <w:p>
      <w:pPr>
        <w:ind w:left="4200"/>
        <w:spacing w:after="0"/>
        <w:tabs>
          <w:tab w:leader="none" w:pos="5200" w:val="left"/>
          <w:tab w:leader="none" w:pos="6320" w:val="left"/>
          <w:tab w:leader="none" w:pos="7340" w:val="left"/>
        </w:tabs>
        <w:rPr>
          <w:sz w:val="20"/>
          <w:szCs w:val="20"/>
          <w:color w:val="auto"/>
        </w:rPr>
      </w:pPr>
      <w:r>
        <w:rPr>
          <w:rFonts w:ascii="Courier New" w:cs="Courier New" w:eastAsia="Courier New" w:hAnsi="Courier New"/>
          <w:sz w:val="14"/>
          <w:szCs w:val="14"/>
          <w:color w:val="auto"/>
        </w:rPr>
        <w:t>1ST</w:t>
      </w:r>
      <w:r>
        <w:rPr>
          <w:sz w:val="20"/>
          <w:szCs w:val="20"/>
          <w:color w:val="auto"/>
        </w:rPr>
        <w:tab/>
      </w:r>
      <w:r>
        <w:rPr>
          <w:rFonts w:ascii="Courier New" w:cs="Courier New" w:eastAsia="Courier New" w:hAnsi="Courier New"/>
          <w:sz w:val="14"/>
          <w:szCs w:val="14"/>
          <w:color w:val="auto"/>
        </w:rPr>
        <w:t>2ND</w:t>
      </w:r>
      <w:r>
        <w:rPr>
          <w:sz w:val="20"/>
          <w:szCs w:val="20"/>
          <w:color w:val="auto"/>
        </w:rPr>
        <w:tab/>
      </w:r>
      <w:r>
        <w:rPr>
          <w:rFonts w:ascii="Courier New" w:cs="Courier New" w:eastAsia="Courier New" w:hAnsi="Courier New"/>
          <w:sz w:val="14"/>
          <w:szCs w:val="14"/>
          <w:color w:val="auto"/>
        </w:rPr>
        <w:t>3RD</w:t>
      </w:r>
      <w:r>
        <w:rPr>
          <w:sz w:val="20"/>
          <w:szCs w:val="20"/>
          <w:color w:val="auto"/>
        </w:rPr>
        <w:tab/>
      </w:r>
      <w:r>
        <w:rPr>
          <w:rFonts w:ascii="Courier New" w:cs="Courier New" w:eastAsia="Courier New" w:hAnsi="Courier New"/>
          <w:sz w:val="14"/>
          <w:szCs w:val="14"/>
          <w:color w:val="auto"/>
        </w:rPr>
        <w:t>4TH</w:t>
      </w:r>
    </w:p>
    <w:p>
      <w:pPr>
        <w:spacing w:after="0" w:line="6" w:lineRule="exact"/>
        <w:rPr>
          <w:sz w:val="20"/>
          <w:szCs w:val="20"/>
          <w:color w:val="auto"/>
        </w:rPr>
      </w:pPr>
    </w:p>
    <w:p>
      <w:pPr>
        <w:spacing w:after="0"/>
        <w:tabs>
          <w:tab w:leader="none" w:pos="3840" w:val="left"/>
          <w:tab w:leader="none" w:pos="5020" w:val="left"/>
          <w:tab w:leader="none" w:pos="6140" w:val="left"/>
          <w:tab w:leader="none" w:pos="7160" w:val="left"/>
          <w:tab w:leader="none" w:pos="8440" w:val="left"/>
        </w:tabs>
        <w:rPr>
          <w:sz w:val="20"/>
          <w:szCs w:val="20"/>
          <w:color w:val="auto"/>
        </w:rPr>
      </w:pPr>
      <w:r>
        <w:rPr>
          <w:rFonts w:ascii="Courier New" w:cs="Courier New" w:eastAsia="Courier New" w:hAnsi="Courier New"/>
          <w:sz w:val="14"/>
          <w:szCs w:val="14"/>
          <w:color w:val="auto"/>
        </w:rPr>
        <w:t>(IN THOUSANDS, EXCEPT PER SHARE DATA)</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TOTAL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20"/>
                <w:szCs w:val="20"/>
                <w:color w:val="auto"/>
              </w:rPr>
            </w:pPr>
            <w:r>
              <w:rPr>
                <w:rFonts w:ascii="Courier New" w:cs="Courier New" w:eastAsia="Courier New" w:hAnsi="Courier New"/>
                <w:sz w:val="14"/>
                <w:szCs w:val="14"/>
                <w:color w:val="auto"/>
              </w:rPr>
              <w:t>YEAR ENDED DECEMBER 31, 1999:</w:t>
            </w: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31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$260,383</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$346,124</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$349,355</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$290,410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$1,246,272</w:t>
            </w:r>
          </w:p>
        </w:tc>
      </w:tr>
      <w:tr>
        <w:trPr>
          <w:trHeight w:val="164"/>
        </w:trPr>
        <w:tc>
          <w:tcPr>
            <w:tcW w:w="31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61,274</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80,779</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80,703</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69,082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291,838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$2,447</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$11,577</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$11,802</w:t>
            </w:r>
          </w:p>
        </w:tc>
        <w:tc>
          <w:tcPr>
            <w:tcW w:w="10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$3,655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$29,481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Diluted</w:t>
            </w:r>
          </w:p>
        </w:tc>
        <w:tc>
          <w:tcPr>
            <w:tcW w:w="2780" w:type="dxa"/>
            <w:vAlign w:val="bottom"/>
          </w:tcPr>
          <w:p>
            <w:pPr>
              <w:ind w:left="60"/>
              <w:spacing w:after="0"/>
              <w:rPr>
                <w:sz w:val="20"/>
                <w:szCs w:val="20"/>
                <w:color w:val="auto"/>
              </w:rPr>
            </w:pPr>
            <w:r>
              <w:rPr>
                <w:rFonts w:ascii="Courier New" w:cs="Courier New" w:eastAsia="Courier New" w:hAnsi="Courier New"/>
                <w:sz w:val="14"/>
                <w:szCs w:val="14"/>
                <w:color w:val="auto"/>
              </w:rPr>
              <w:t>earnings per share</w:t>
            </w:r>
          </w:p>
        </w:tc>
        <w:tc>
          <w:tcPr>
            <w:tcW w:w="1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4"/>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from</w:t>
            </w:r>
          </w:p>
        </w:tc>
        <w:tc>
          <w:tcPr>
            <w:tcW w:w="2780" w:type="dxa"/>
            <w:vAlign w:val="bottom"/>
          </w:tcPr>
          <w:p>
            <w:pPr>
              <w:ind w:left="60"/>
              <w:spacing w:after="0"/>
              <w:rPr>
                <w:sz w:val="20"/>
                <w:szCs w:val="20"/>
                <w:color w:val="auto"/>
              </w:rPr>
            </w:pPr>
            <w:r>
              <w:rPr>
                <w:rFonts w:ascii="Courier New" w:cs="Courier New" w:eastAsia="Courier New" w:hAnsi="Courier New"/>
                <w:sz w:val="14"/>
                <w:szCs w:val="14"/>
                <w:color w:val="auto"/>
              </w:rPr>
              <w:t>continuing operations(1)</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$0.08</w:t>
            </w:r>
          </w:p>
        </w:tc>
        <w:tc>
          <w:tcPr>
            <w:tcW w:w="11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$0.39</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$0.40</w:t>
            </w: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20"/>
                <w:szCs w:val="20"/>
                <w:color w:val="auto"/>
              </w:rPr>
            </w:pPr>
            <w:r>
              <w:rPr>
                <w:rFonts w:ascii="Courier New" w:cs="Courier New" w:eastAsia="Courier New" w:hAnsi="Courier New"/>
                <w:sz w:val="14"/>
                <w:szCs w:val="14"/>
                <w:color w:val="auto"/>
              </w:rPr>
              <w:t>YEAR ENDED DECEMBER 31, 1998: (2)</w:t>
            </w: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4"/>
        </w:trPr>
        <w:tc>
          <w:tcPr>
            <w:tcW w:w="38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$183,672</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$283,558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$331,010</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$264,025</w:t>
            </w:r>
          </w:p>
        </w:tc>
        <w:tc>
          <w:tcPr>
            <w:tcW w:w="10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$1,062,265</w:t>
            </w:r>
          </w:p>
        </w:tc>
      </w:tr>
      <w:tr>
        <w:trPr>
          <w:trHeight w:val="164"/>
        </w:trPr>
        <w:tc>
          <w:tcPr>
            <w:tcW w:w="38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43,047</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62,989</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74,821</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61,067</w:t>
            </w:r>
          </w:p>
        </w:tc>
        <w:tc>
          <w:tcPr>
            <w:tcW w:w="10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241,924</w:t>
            </w:r>
          </w:p>
        </w:tc>
      </w:tr>
      <w:tr>
        <w:trPr>
          <w:trHeight w:val="164"/>
        </w:trPr>
        <w:tc>
          <w:tcPr>
            <w:tcW w:w="382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1,980</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9,113</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11,128</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4,751</w:t>
            </w:r>
          </w:p>
        </w:tc>
        <w:tc>
          <w:tcPr>
            <w:tcW w:w="10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26,972</w:t>
            </w:r>
          </w:p>
        </w:tc>
      </w:tr>
      <w:tr>
        <w:trPr>
          <w:trHeight w:val="164"/>
        </w:trPr>
        <w:tc>
          <w:tcPr>
            <w:tcW w:w="3820" w:type="dxa"/>
            <w:vAlign w:val="bottom"/>
          </w:tcPr>
          <w:p>
            <w:pPr>
              <w:spacing w:after="0"/>
              <w:rPr>
                <w:sz w:val="20"/>
                <w:szCs w:val="20"/>
                <w:color w:val="auto"/>
              </w:rPr>
            </w:pPr>
            <w:r>
              <w:rPr>
                <w:rFonts w:ascii="Courier New" w:cs="Courier New" w:eastAsia="Courier New" w:hAnsi="Courier New"/>
                <w:sz w:val="14"/>
                <w:szCs w:val="14"/>
                <w:color w:val="auto"/>
              </w:rPr>
              <w:t>Discontinued operation, net of income taxes:</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4"/>
        </w:trPr>
        <w:tc>
          <w:tcPr>
            <w:tcW w:w="3820" w:type="dxa"/>
            <w:vAlign w:val="bottom"/>
          </w:tcPr>
          <w:p>
            <w:pPr>
              <w:ind w:left="260"/>
              <w:spacing w:after="0"/>
              <w:rPr>
                <w:sz w:val="20"/>
                <w:szCs w:val="20"/>
                <w:color w:val="auto"/>
              </w:rPr>
            </w:pPr>
            <w:r>
              <w:rPr>
                <w:rFonts w:ascii="Courier New" w:cs="Courier New" w:eastAsia="Courier New" w:hAnsi="Courier New"/>
                <w:sz w:val="14"/>
                <w:szCs w:val="14"/>
                <w:color w:val="auto"/>
              </w:rPr>
              <w:t>Loss from operation</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(55)</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(733)</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4"/>
        </w:trPr>
        <w:tc>
          <w:tcPr>
            <w:tcW w:w="3820" w:type="dxa"/>
            <w:vAlign w:val="bottom"/>
          </w:tcPr>
          <w:p>
            <w:pPr>
              <w:ind w:left="260"/>
              <w:spacing w:after="0"/>
              <w:rPr>
                <w:sz w:val="20"/>
                <w:szCs w:val="20"/>
                <w:color w:val="auto"/>
              </w:rPr>
            </w:pPr>
            <w:r>
              <w:rPr>
                <w:rFonts w:ascii="Courier New" w:cs="Courier New" w:eastAsia="Courier New" w:hAnsi="Courier New"/>
                <w:sz w:val="14"/>
                <w:szCs w:val="14"/>
                <w:color w:val="auto"/>
              </w:rPr>
              <w:t>Loss on sale</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4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$1,925</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$7,982</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$11,116</w:t>
            </w:r>
          </w:p>
        </w:tc>
        <w:tc>
          <w:tcPr>
            <w:tcW w:w="10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$4,168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$25,191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Diluted</w:t>
            </w:r>
          </w:p>
        </w:tc>
        <w:tc>
          <w:tcPr>
            <w:tcW w:w="2960" w:type="dxa"/>
            <w:vAlign w:val="bottom"/>
          </w:tcPr>
          <w:p>
            <w:pPr>
              <w:ind w:left="60"/>
              <w:spacing w:after="0"/>
              <w:rPr>
                <w:sz w:val="20"/>
                <w:szCs w:val="20"/>
                <w:color w:val="auto"/>
              </w:rPr>
            </w:pPr>
            <w:r>
              <w:rPr>
                <w:rFonts w:ascii="Courier New" w:cs="Courier New" w:eastAsia="Courier New" w:hAnsi="Courier New"/>
                <w:sz w:val="14"/>
                <w:szCs w:val="14"/>
                <w:color w:val="auto"/>
              </w:rPr>
              <w:t>earnings per share</w:t>
            </w: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from</w:t>
            </w:r>
          </w:p>
        </w:tc>
        <w:tc>
          <w:tcPr>
            <w:tcW w:w="2960" w:type="dxa"/>
            <w:vAlign w:val="bottom"/>
          </w:tcPr>
          <w:p>
            <w:pPr>
              <w:ind w:left="60"/>
              <w:spacing w:after="0"/>
              <w:rPr>
                <w:sz w:val="20"/>
                <w:szCs w:val="20"/>
                <w:color w:val="auto"/>
              </w:rPr>
            </w:pPr>
            <w:r>
              <w:rPr>
                <w:rFonts w:ascii="Courier New" w:cs="Courier New" w:eastAsia="Courier New" w:hAnsi="Courier New"/>
                <w:sz w:val="14"/>
                <w:szCs w:val="14"/>
                <w:color w:val="auto"/>
              </w:rPr>
              <w:t>continuing operations (1)(3)</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$0.07</w:t>
            </w:r>
          </w:p>
        </w:tc>
        <w:tc>
          <w:tcPr>
            <w:tcW w:w="11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$0.32</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$0.38</w:t>
            </w:r>
          </w:p>
        </w:tc>
        <w:tc>
          <w:tcPr>
            <w:tcW w:w="11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$0.16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left="600" w:right="3399" w:hanging="592"/>
        <w:spacing w:after="0" w:line="249" w:lineRule="auto"/>
        <w:tabs>
          <w:tab w:leader="none" w:pos="6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EARNINGS PER SHARE ARE CALCULATED ON AN INDIVIDUAL BASIS AND, BECAUSE OF ROUNDING AND CHANGES IN THE WEIGHTED AVERAGE SHARES OUTSTANDING DURING THE YEAR, THE SUMMATION OF EACH QUARTER MAY NOT EQUAL THE AMOUNT CALCULATED FOR THE YEAR AS A WHOLE.</w:t>
      </w:r>
    </w:p>
    <w:p>
      <w:pPr>
        <w:spacing w:after="0" w:line="163" w:lineRule="exact"/>
        <w:rPr>
          <w:rFonts w:ascii="Courier New" w:cs="Courier New" w:eastAsia="Courier New" w:hAnsi="Courier New"/>
          <w:sz w:val="14"/>
          <w:szCs w:val="14"/>
          <w:color w:val="auto"/>
        </w:rPr>
      </w:pPr>
    </w:p>
    <w:p>
      <w:pPr>
        <w:ind w:left="600" w:right="3479" w:hanging="592"/>
        <w:spacing w:after="0" w:line="251" w:lineRule="auto"/>
        <w:tabs>
          <w:tab w:leader="none" w:pos="6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 1998 HAVE BEEN RESTATED TO INCLUDE DUNHILL STAFFING SYSTEMS, INC. IN CONTINUING OPERATIONS.</w:t>
      </w:r>
    </w:p>
    <w:p>
      <w:pPr>
        <w:spacing w:after="0" w:line="161" w:lineRule="exact"/>
        <w:rPr>
          <w:rFonts w:ascii="Courier New" w:cs="Courier New" w:eastAsia="Courier New" w:hAnsi="Courier New"/>
          <w:sz w:val="14"/>
          <w:szCs w:val="14"/>
          <w:color w:val="auto"/>
        </w:rPr>
      </w:pPr>
    </w:p>
    <w:p>
      <w:pPr>
        <w:ind w:left="600" w:right="3579" w:hanging="592"/>
        <w:spacing w:after="0" w:line="251" w:lineRule="auto"/>
        <w:tabs>
          <w:tab w:leader="none" w:pos="6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 INFORMATION HAS BEEN RESTATED TO GIVE EFFECT TO THE THREE-FOR-TWO STOCK SPLIT EFFECTED ON AUGUST 14, 1998.</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159"/>
          </w:cols>
          <w:pgMar w:left="300" w:top="777" w:right="1440" w:bottom="1440" w:gutter="0" w:footer="0" w:header="0"/>
        </w:sectPr>
      </w:pPr>
    </w:p>
    <w:bookmarkStart w:id="35" w:name="page36"/>
    <w:bookmarkEnd w:id="35"/>
    <w:p>
      <w:pPr>
        <w:jc w:val="center"/>
        <w:ind w:right="3239"/>
        <w:spacing w:after="0"/>
        <w:rPr>
          <w:sz w:val="20"/>
          <w:szCs w:val="20"/>
          <w:color w:val="auto"/>
        </w:rPr>
      </w:pPr>
      <w:r>
        <w:rPr>
          <w:rFonts w:ascii="Courier New" w:cs="Courier New" w:eastAsia="Courier New" w:hAnsi="Courier New"/>
          <w:sz w:val="14"/>
          <w:szCs w:val="14"/>
          <w:color w:val="auto"/>
        </w:rPr>
        <w:t>WATSCO, INC. AND SUBSIDIARIES</w:t>
      </w:r>
    </w:p>
    <w:p>
      <w:pPr>
        <w:spacing w:after="0" w:line="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INFORMATION ON COMMON STOCK</w:t>
      </w:r>
    </w:p>
    <w:p>
      <w:pPr>
        <w:spacing w:after="0" w:line="170" w:lineRule="exact"/>
        <w:rPr>
          <w:sz w:val="20"/>
          <w:szCs w:val="20"/>
          <w:color w:val="auto"/>
        </w:rPr>
      </w:pPr>
    </w:p>
    <w:p>
      <w:pPr>
        <w:jc w:val="both"/>
        <w:ind w:right="3319" w:firstLine="256"/>
        <w:spacing w:after="0" w:line="249" w:lineRule="auto"/>
        <w:rPr>
          <w:sz w:val="20"/>
          <w:szCs w:val="20"/>
          <w:color w:val="auto"/>
        </w:rPr>
      </w:pPr>
      <w:r>
        <w:rPr>
          <w:rFonts w:ascii="Courier New" w:cs="Courier New" w:eastAsia="Courier New" w:hAnsi="Courier New"/>
          <w:sz w:val="14"/>
          <w:szCs w:val="14"/>
          <w:color w:val="auto"/>
        </w:rPr>
        <w:t>The Company's Common Stock is traded on the New York Stock Exchange under the symbol WSO and its Class B Common Stock is traded on the American Stock Exchange under the symbol WSOB. The following table indicates the high and low prices of the Company's Common Stock and Class B Common Stock, as reported by the New York Stock Exchange and American Stock Exchange, respectively, and dividends paid per share for each quarter during the years ended December 31, 1999, 1998 and 1997. At March 22, 2000, excluding shareholders with stock in street name, the Company had approximately 631 Common Stock shareholders of record and 291 Class B Common Stock shareholders of record.</w:t>
      </w:r>
    </w:p>
    <w:p>
      <w:pPr>
        <w:spacing w:after="0" w:line="200" w:lineRule="exact"/>
        <w:rPr>
          <w:sz w:val="20"/>
          <w:szCs w:val="20"/>
          <w:color w:val="auto"/>
        </w:rPr>
      </w:pPr>
    </w:p>
    <w:p>
      <w:pPr>
        <w:spacing w:after="0" w:line="291" w:lineRule="exact"/>
        <w:rPr>
          <w:sz w:val="20"/>
          <w:szCs w:val="20"/>
          <w:color w:val="auto"/>
        </w:rPr>
      </w:pPr>
    </w:p>
    <w:p>
      <w:pPr>
        <w:ind w:left="3600"/>
        <w:spacing w:after="0"/>
        <w:tabs>
          <w:tab w:leader="none" w:pos="5540" w:val="left"/>
          <w:tab w:leader="none" w:pos="6820" w:val="left"/>
        </w:tabs>
        <w:rPr>
          <w:sz w:val="20"/>
          <w:szCs w:val="20"/>
          <w:color w:val="auto"/>
        </w:rPr>
      </w:pP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CLASS B</w:t>
      </w:r>
      <w:r>
        <w:rPr>
          <w:sz w:val="20"/>
          <w:szCs w:val="20"/>
          <w:color w:val="auto"/>
        </w:rPr>
        <w:tab/>
      </w:r>
      <w:r>
        <w:rPr>
          <w:rFonts w:ascii="Courier New" w:cs="Courier New" w:eastAsia="Courier New" w:hAnsi="Courier New"/>
          <w:sz w:val="14"/>
          <w:szCs w:val="14"/>
          <w:color w:val="auto"/>
        </w:rPr>
        <w:t>CASH DIVIDENDS</w:t>
      </w:r>
    </w:p>
    <w:p>
      <w:pPr>
        <w:spacing w:after="0" w:line="6" w:lineRule="exact"/>
        <w:rPr>
          <w:sz w:val="20"/>
          <w:szCs w:val="20"/>
          <w:color w:val="auto"/>
        </w:rPr>
      </w:pPr>
    </w:p>
    <w:p>
      <w:pPr>
        <w:ind w:left="3340"/>
        <w:spacing w:after="0"/>
        <w:tabs>
          <w:tab w:leader="none" w:pos="4260" w:val="left"/>
          <w:tab w:leader="none" w:pos="5120" w:val="left"/>
          <w:tab w:leader="none" w:pos="6140" w:val="left"/>
          <w:tab w:leader="none" w:pos="6660" w:val="left"/>
          <w:tab w:leader="none" w:pos="7600" w:val="left"/>
        </w:tabs>
        <w:rPr>
          <w:sz w:val="20"/>
          <w:szCs w:val="20"/>
          <w:color w:val="auto"/>
        </w:rPr>
      </w:pP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CLASS 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1999:</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1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7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$13.125</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$ 9.750</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$ 12.875</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9.750</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$.025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$.025</w:t>
            </w:r>
          </w:p>
        </w:tc>
      </w:tr>
      <w:tr>
        <w:trPr>
          <w:trHeight w:val="164"/>
        </w:trPr>
        <w:tc>
          <w:tcPr>
            <w:tcW w:w="21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7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17.438</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10.375</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17.063</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10.375</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.025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.025</w:t>
            </w:r>
          </w:p>
        </w:tc>
      </w:tr>
      <w:tr>
        <w:trPr>
          <w:trHeight w:val="164"/>
        </w:trPr>
        <w:tc>
          <w:tcPr>
            <w:tcW w:w="21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7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19.875</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14.625</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19.750</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14.500</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.025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.025</w:t>
            </w:r>
          </w:p>
        </w:tc>
      </w:tr>
      <w:tr>
        <w:trPr>
          <w:trHeight w:val="164"/>
        </w:trPr>
        <w:tc>
          <w:tcPr>
            <w:tcW w:w="21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7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18.625</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11.250</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18.188</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13.500</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.025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1998:</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1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7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$19.125</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$14.375</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$19.500</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$14.000</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$.025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$.025</w:t>
            </w:r>
          </w:p>
        </w:tc>
      </w:tr>
      <w:tr>
        <w:trPr>
          <w:trHeight w:val="164"/>
        </w:trPr>
        <w:tc>
          <w:tcPr>
            <w:tcW w:w="21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7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23.531</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12.062</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23.328</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12.250</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.023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r>
      <w:tr>
        <w:trPr>
          <w:trHeight w:val="164"/>
        </w:trPr>
        <w:tc>
          <w:tcPr>
            <w:tcW w:w="21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7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23.796</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16.671</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23.421</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18.000</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.023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r>
      <w:tr>
        <w:trPr>
          <w:trHeight w:val="164"/>
        </w:trPr>
        <w:tc>
          <w:tcPr>
            <w:tcW w:w="21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7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20.000</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15.828</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19.921</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16.015</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.023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1997:</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1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7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$20.328</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$15.421</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$19.921</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$16.000</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$.023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r>
      <w:tr>
        <w:trPr>
          <w:trHeight w:val="164"/>
        </w:trPr>
        <w:tc>
          <w:tcPr>
            <w:tcW w:w="21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7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20.828</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16.578</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20.671</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16.328</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.023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r>
      <w:tr>
        <w:trPr>
          <w:trHeight w:val="164"/>
        </w:trPr>
        <w:tc>
          <w:tcPr>
            <w:tcW w:w="21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7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19.328</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15.328</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18.828</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15.671</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.023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r>
      <w:tr>
        <w:trPr>
          <w:trHeight w:val="164"/>
        </w:trPr>
        <w:tc>
          <w:tcPr>
            <w:tcW w:w="21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7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22.078</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15.171</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22.500</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16.671</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.023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159"/>
          </w:cols>
          <w:pgMar w:left="300" w:top="612"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5680" w:type="dxa"/>
            <w:vAlign w:val="bottom"/>
          </w:tcPr>
          <w:p>
            <w:pPr>
              <w:ind w:left="1660"/>
              <w:spacing w:after="0"/>
              <w:rPr>
                <w:sz w:val="20"/>
                <w:szCs w:val="20"/>
                <w:color w:val="auto"/>
              </w:rPr>
            </w:pPr>
            <w:r>
              <w:rPr>
                <w:rFonts w:ascii="Courier New" w:cs="Courier New" w:eastAsia="Courier New" w:hAnsi="Courier New"/>
                <w:sz w:val="14"/>
                <w:szCs w:val="14"/>
                <w:color w:val="auto"/>
              </w:rPr>
              <w:t>EXHIBIT INDEX</w:t>
            </w:r>
          </w:p>
        </w:tc>
      </w:tr>
      <w:tr>
        <w:trPr>
          <w:trHeight w:val="329"/>
        </w:trPr>
        <w:tc>
          <w:tcPr>
            <w:tcW w:w="11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680" w:type="dxa"/>
            <w:vAlign w:val="bottom"/>
          </w:tcPr>
          <w:p>
            <w:pPr>
              <w:ind w:left="900"/>
              <w:spacing w:after="0"/>
              <w:rPr>
                <w:sz w:val="20"/>
                <w:szCs w:val="20"/>
                <w:color w:val="auto"/>
              </w:rPr>
            </w:pPr>
            <w:r>
              <w:rPr>
                <w:rFonts w:ascii="Courier New" w:cs="Courier New" w:eastAsia="Courier New" w:hAnsi="Courier New"/>
                <w:sz w:val="14"/>
                <w:szCs w:val="14"/>
                <w:color w:val="auto"/>
              </w:rPr>
              <w:t>DESCRIPTION</w:t>
            </w:r>
          </w:p>
        </w:tc>
      </w:tr>
      <w:tr>
        <w:trPr>
          <w:trHeight w:val="164"/>
        </w:trPr>
        <w:tc>
          <w:tcPr>
            <w:tcW w:w="1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80" w:type="dxa"/>
            <w:vAlign w:val="bottom"/>
          </w:tcPr>
          <w:p>
            <w:pPr>
              <w:ind w:left="1060"/>
              <w:spacing w:after="0"/>
              <w:rPr>
                <w:sz w:val="20"/>
                <w:szCs w:val="20"/>
                <w:color w:val="auto"/>
              </w:rPr>
            </w:pPr>
            <w:r>
              <w:rPr>
                <w:rFonts w:ascii="Courier New" w:cs="Courier New" w:eastAsia="Courier New" w:hAnsi="Courier New"/>
                <w:sz w:val="14"/>
                <w:szCs w:val="14"/>
                <w:color w:val="auto"/>
              </w:rPr>
              <w:t>-----------</w:t>
            </w:r>
          </w:p>
        </w:tc>
      </w:tr>
      <w:tr>
        <w:trPr>
          <w:trHeight w:val="329"/>
        </w:trPr>
        <w:tc>
          <w:tcPr>
            <w:tcW w:w="116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5680" w:type="dxa"/>
            <w:vAlign w:val="bottom"/>
          </w:tcPr>
          <w:p>
            <w:pPr>
              <w:ind w:left="380"/>
              <w:spacing w:after="0"/>
              <w:rPr>
                <w:sz w:val="20"/>
                <w:szCs w:val="20"/>
                <w:color w:val="auto"/>
              </w:rPr>
            </w:pPr>
            <w:r>
              <w:rPr>
                <w:rFonts w:ascii="Courier New" w:cs="Courier New" w:eastAsia="Courier New" w:hAnsi="Courier New"/>
                <w:sz w:val="14"/>
                <w:szCs w:val="14"/>
                <w:color w:val="auto"/>
              </w:rPr>
              <w:t>Amendment Agreement No. 3 to Amended and Restated Revolving</w:t>
            </w:r>
          </w:p>
        </w:tc>
      </w:tr>
      <w:tr>
        <w:trPr>
          <w:trHeight w:val="164"/>
        </w:trPr>
        <w:tc>
          <w:tcPr>
            <w:tcW w:w="1160" w:type="dxa"/>
            <w:vAlign w:val="bottom"/>
          </w:tcPr>
          <w:p>
            <w:pPr>
              <w:spacing w:after="0"/>
              <w:rPr>
                <w:sz w:val="14"/>
                <w:szCs w:val="14"/>
                <w:color w:val="auto"/>
              </w:rPr>
            </w:pPr>
          </w:p>
        </w:tc>
        <w:tc>
          <w:tcPr>
            <w:tcW w:w="5680" w:type="dxa"/>
            <w:vAlign w:val="bottom"/>
          </w:tcPr>
          <w:p>
            <w:pPr>
              <w:ind w:left="380"/>
              <w:spacing w:after="0"/>
              <w:rPr>
                <w:sz w:val="20"/>
                <w:szCs w:val="20"/>
                <w:color w:val="auto"/>
              </w:rPr>
            </w:pPr>
            <w:r>
              <w:rPr>
                <w:rFonts w:ascii="Courier New" w:cs="Courier New" w:eastAsia="Courier New" w:hAnsi="Courier New"/>
                <w:sz w:val="14"/>
                <w:szCs w:val="14"/>
                <w:color w:val="auto"/>
              </w:rPr>
              <w:t>Credit and Reimbursement Agreement dated December 30, 1999 by</w:t>
            </w:r>
          </w:p>
        </w:tc>
      </w:tr>
      <w:tr>
        <w:trPr>
          <w:trHeight w:val="164"/>
        </w:trPr>
        <w:tc>
          <w:tcPr>
            <w:tcW w:w="1160" w:type="dxa"/>
            <w:vAlign w:val="bottom"/>
          </w:tcPr>
          <w:p>
            <w:pPr>
              <w:spacing w:after="0"/>
              <w:rPr>
                <w:sz w:val="14"/>
                <w:szCs w:val="14"/>
                <w:color w:val="auto"/>
              </w:rPr>
            </w:pPr>
          </w:p>
        </w:tc>
        <w:tc>
          <w:tcPr>
            <w:tcW w:w="5680" w:type="dxa"/>
            <w:vAlign w:val="bottom"/>
          </w:tcPr>
          <w:p>
            <w:pPr>
              <w:ind w:left="380"/>
              <w:spacing w:after="0"/>
              <w:rPr>
                <w:sz w:val="20"/>
                <w:szCs w:val="20"/>
                <w:color w:val="auto"/>
              </w:rPr>
            </w:pPr>
            <w:r>
              <w:rPr>
                <w:rFonts w:ascii="Courier New" w:cs="Courier New" w:eastAsia="Courier New" w:hAnsi="Courier New"/>
                <w:sz w:val="14"/>
                <w:szCs w:val="14"/>
                <w:color w:val="auto"/>
              </w:rPr>
              <w:t>and among Watsco, Inc., the Lenders and NationsBank, N.A., as</w:t>
            </w:r>
          </w:p>
        </w:tc>
      </w:tr>
      <w:tr>
        <w:trPr>
          <w:trHeight w:val="164"/>
        </w:trPr>
        <w:tc>
          <w:tcPr>
            <w:tcW w:w="1160" w:type="dxa"/>
            <w:vAlign w:val="bottom"/>
          </w:tcPr>
          <w:p>
            <w:pPr>
              <w:spacing w:after="0"/>
              <w:rPr>
                <w:sz w:val="14"/>
                <w:szCs w:val="14"/>
                <w:color w:val="auto"/>
              </w:rPr>
            </w:pPr>
          </w:p>
        </w:tc>
        <w:tc>
          <w:tcPr>
            <w:tcW w:w="5680" w:type="dxa"/>
            <w:vAlign w:val="bottom"/>
          </w:tcPr>
          <w:p>
            <w:pPr>
              <w:ind w:left="380"/>
              <w:spacing w:after="0"/>
              <w:rPr>
                <w:sz w:val="20"/>
                <w:szCs w:val="20"/>
                <w:color w:val="auto"/>
              </w:rPr>
            </w:pPr>
            <w:r>
              <w:rPr>
                <w:rFonts w:ascii="Courier New" w:cs="Courier New" w:eastAsia="Courier New" w:hAnsi="Courier New"/>
                <w:sz w:val="14"/>
                <w:szCs w:val="14"/>
                <w:color w:val="auto"/>
              </w:rPr>
              <w:t>Agent. #</w:t>
            </w:r>
          </w:p>
        </w:tc>
      </w:tr>
      <w:tr>
        <w:trPr>
          <w:trHeight w:val="329"/>
        </w:trPr>
        <w:tc>
          <w:tcPr>
            <w:tcW w:w="116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5680" w:type="dxa"/>
            <w:vAlign w:val="bottom"/>
          </w:tcPr>
          <w:p>
            <w:pPr>
              <w:ind w:left="380"/>
              <w:spacing w:after="0"/>
              <w:rPr>
                <w:sz w:val="20"/>
                <w:szCs w:val="20"/>
                <w:color w:val="auto"/>
              </w:rPr>
            </w:pPr>
            <w:r>
              <w:rPr>
                <w:rFonts w:ascii="Courier New" w:cs="Courier New" w:eastAsia="Courier New" w:hAnsi="Courier New"/>
                <w:sz w:val="14"/>
                <w:szCs w:val="14"/>
                <w:color w:val="auto"/>
              </w:rPr>
              <w:t>Amendment Agreement No. 4 to Amended and Restated Revolving</w:t>
            </w:r>
          </w:p>
        </w:tc>
      </w:tr>
      <w:tr>
        <w:trPr>
          <w:trHeight w:val="164"/>
        </w:trPr>
        <w:tc>
          <w:tcPr>
            <w:tcW w:w="1160" w:type="dxa"/>
            <w:vAlign w:val="bottom"/>
          </w:tcPr>
          <w:p>
            <w:pPr>
              <w:spacing w:after="0"/>
              <w:rPr>
                <w:sz w:val="14"/>
                <w:szCs w:val="14"/>
                <w:color w:val="auto"/>
              </w:rPr>
            </w:pPr>
          </w:p>
        </w:tc>
        <w:tc>
          <w:tcPr>
            <w:tcW w:w="5680" w:type="dxa"/>
            <w:vAlign w:val="bottom"/>
          </w:tcPr>
          <w:p>
            <w:pPr>
              <w:ind w:left="380"/>
              <w:spacing w:after="0"/>
              <w:rPr>
                <w:sz w:val="20"/>
                <w:szCs w:val="20"/>
                <w:color w:val="auto"/>
              </w:rPr>
            </w:pPr>
            <w:r>
              <w:rPr>
                <w:rFonts w:ascii="Courier New" w:cs="Courier New" w:eastAsia="Courier New" w:hAnsi="Courier New"/>
                <w:sz w:val="14"/>
                <w:szCs w:val="14"/>
                <w:color w:val="auto"/>
              </w:rPr>
              <w:t>Credit aand Reimbursement Agreement dated March 14, 2000 by</w:t>
            </w:r>
          </w:p>
        </w:tc>
      </w:tr>
      <w:tr>
        <w:trPr>
          <w:trHeight w:val="164"/>
        </w:trPr>
        <w:tc>
          <w:tcPr>
            <w:tcW w:w="1160" w:type="dxa"/>
            <w:vAlign w:val="bottom"/>
          </w:tcPr>
          <w:p>
            <w:pPr>
              <w:spacing w:after="0"/>
              <w:rPr>
                <w:sz w:val="14"/>
                <w:szCs w:val="14"/>
                <w:color w:val="auto"/>
              </w:rPr>
            </w:pPr>
          </w:p>
        </w:tc>
        <w:tc>
          <w:tcPr>
            <w:tcW w:w="5680" w:type="dxa"/>
            <w:vAlign w:val="bottom"/>
          </w:tcPr>
          <w:p>
            <w:pPr>
              <w:ind w:left="380"/>
              <w:spacing w:after="0"/>
              <w:rPr>
                <w:sz w:val="20"/>
                <w:szCs w:val="20"/>
                <w:color w:val="auto"/>
              </w:rPr>
            </w:pPr>
            <w:r>
              <w:rPr>
                <w:rFonts w:ascii="Courier New" w:cs="Courier New" w:eastAsia="Courier New" w:hAnsi="Courier New"/>
                <w:sz w:val="14"/>
                <w:szCs w:val="14"/>
                <w:color w:val="auto"/>
              </w:rPr>
              <w:t>and among Watsco,  Inc., the Lenders and NationsBank, N.A., as</w:t>
            </w:r>
          </w:p>
        </w:tc>
      </w:tr>
      <w:tr>
        <w:trPr>
          <w:trHeight w:val="164"/>
        </w:trPr>
        <w:tc>
          <w:tcPr>
            <w:tcW w:w="1160" w:type="dxa"/>
            <w:vAlign w:val="bottom"/>
          </w:tcPr>
          <w:p>
            <w:pPr>
              <w:spacing w:after="0"/>
              <w:rPr>
                <w:sz w:val="14"/>
                <w:szCs w:val="14"/>
                <w:color w:val="auto"/>
              </w:rPr>
            </w:pPr>
          </w:p>
        </w:tc>
        <w:tc>
          <w:tcPr>
            <w:tcW w:w="5680" w:type="dxa"/>
            <w:vAlign w:val="bottom"/>
          </w:tcPr>
          <w:p>
            <w:pPr>
              <w:ind w:left="380"/>
              <w:spacing w:after="0"/>
              <w:rPr>
                <w:sz w:val="20"/>
                <w:szCs w:val="20"/>
                <w:color w:val="auto"/>
              </w:rPr>
            </w:pPr>
            <w:r>
              <w:rPr>
                <w:rFonts w:ascii="Courier New" w:cs="Courier New" w:eastAsia="Courier New" w:hAnsi="Courier New"/>
                <w:sz w:val="14"/>
                <w:szCs w:val="14"/>
                <w:color w:val="auto"/>
              </w:rPr>
              <w:t>Agent. #</w:t>
            </w:r>
          </w:p>
        </w:tc>
      </w:tr>
      <w:tr>
        <w:trPr>
          <w:trHeight w:val="329"/>
        </w:trPr>
        <w:tc>
          <w:tcPr>
            <w:tcW w:w="116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5680" w:type="dxa"/>
            <w:vAlign w:val="bottom"/>
          </w:tcPr>
          <w:p>
            <w:pPr>
              <w:ind w:left="380"/>
              <w:spacing w:after="0"/>
              <w:rPr>
                <w:sz w:val="20"/>
                <w:szCs w:val="20"/>
                <w:color w:val="auto"/>
              </w:rPr>
            </w:pPr>
            <w:r>
              <w:rPr>
                <w:rFonts w:ascii="Courier New" w:cs="Courier New" w:eastAsia="Courier New" w:hAnsi="Courier New"/>
                <w:sz w:val="14"/>
                <w:szCs w:val="14"/>
                <w:color w:val="auto"/>
              </w:rPr>
              <w:t>Watsco, Inc. $125,000,000 Private Shelf Agreement as of</w:t>
            </w:r>
          </w:p>
        </w:tc>
      </w:tr>
      <w:tr>
        <w:trPr>
          <w:trHeight w:val="164"/>
        </w:trPr>
        <w:tc>
          <w:tcPr>
            <w:tcW w:w="1160" w:type="dxa"/>
            <w:vAlign w:val="bottom"/>
          </w:tcPr>
          <w:p>
            <w:pPr>
              <w:spacing w:after="0"/>
              <w:rPr>
                <w:sz w:val="14"/>
                <w:szCs w:val="14"/>
                <w:color w:val="auto"/>
              </w:rPr>
            </w:pPr>
          </w:p>
        </w:tc>
        <w:tc>
          <w:tcPr>
            <w:tcW w:w="5680" w:type="dxa"/>
            <w:vAlign w:val="bottom"/>
          </w:tcPr>
          <w:p>
            <w:pPr>
              <w:ind w:left="380"/>
              <w:spacing w:after="0"/>
              <w:rPr>
                <w:sz w:val="20"/>
                <w:szCs w:val="20"/>
                <w:color w:val="auto"/>
              </w:rPr>
            </w:pPr>
            <w:r>
              <w:rPr>
                <w:rFonts w:ascii="Courier New" w:cs="Courier New" w:eastAsia="Courier New" w:hAnsi="Courier New"/>
                <w:sz w:val="14"/>
                <w:szCs w:val="14"/>
                <w:color w:val="auto"/>
              </w:rPr>
              <w:t>January 31, 2000 by and among, Watsco, Inc. and the Prudential</w:t>
            </w:r>
          </w:p>
        </w:tc>
      </w:tr>
      <w:tr>
        <w:trPr>
          <w:trHeight w:val="164"/>
        </w:trPr>
        <w:tc>
          <w:tcPr>
            <w:tcW w:w="1160" w:type="dxa"/>
            <w:vAlign w:val="bottom"/>
          </w:tcPr>
          <w:p>
            <w:pPr>
              <w:spacing w:after="0"/>
              <w:rPr>
                <w:sz w:val="14"/>
                <w:szCs w:val="14"/>
                <w:color w:val="auto"/>
              </w:rPr>
            </w:pPr>
          </w:p>
        </w:tc>
        <w:tc>
          <w:tcPr>
            <w:tcW w:w="5680" w:type="dxa"/>
            <w:vAlign w:val="bottom"/>
          </w:tcPr>
          <w:p>
            <w:pPr>
              <w:ind w:left="380"/>
              <w:spacing w:after="0"/>
              <w:rPr>
                <w:sz w:val="20"/>
                <w:szCs w:val="20"/>
                <w:color w:val="auto"/>
              </w:rPr>
            </w:pPr>
            <w:r>
              <w:rPr>
                <w:rFonts w:ascii="Courier New" w:cs="Courier New" w:eastAsia="Courier New" w:hAnsi="Courier New"/>
                <w:sz w:val="14"/>
                <w:szCs w:val="14"/>
                <w:color w:val="auto"/>
              </w:rPr>
              <w:t>Insurance Company of America. #</w:t>
            </w:r>
          </w:p>
        </w:tc>
      </w:tr>
    </w:tbl>
    <w:p>
      <w:pPr>
        <w:spacing w:after="0" w:line="168" w:lineRule="exact"/>
        <w:rPr>
          <w:sz w:val="20"/>
          <w:szCs w:val="20"/>
          <w:color w:val="auto"/>
        </w:rPr>
      </w:pPr>
    </w:p>
    <w:p>
      <w:pPr>
        <w:ind w:left="1540" w:hanging="1532"/>
        <w:spacing w:after="0"/>
        <w:tabs>
          <w:tab w:leader="none" w:pos="15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 #</w:t>
      </w:r>
    </w:p>
    <w:p>
      <w:pPr>
        <w:spacing w:after="0" w:line="170" w:lineRule="exact"/>
        <w:rPr>
          <w:sz w:val="20"/>
          <w:szCs w:val="20"/>
          <w:color w:val="auto"/>
        </w:rPr>
      </w:pPr>
    </w:p>
    <w:p>
      <w:pPr>
        <w:ind w:left="1540" w:hanging="1532"/>
        <w:spacing w:after="0"/>
        <w:tabs>
          <w:tab w:leader="none" w:pos="15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Certified Public  Accountants. #</w:t>
      </w:r>
    </w:p>
    <w:p>
      <w:pPr>
        <w:spacing w:after="0" w:line="170" w:lineRule="exact"/>
        <w:rPr>
          <w:sz w:val="20"/>
          <w:szCs w:val="20"/>
          <w:color w:val="auto"/>
        </w:rPr>
      </w:pPr>
    </w:p>
    <w:p>
      <w:pPr>
        <w:ind w:left="1540" w:hanging="1532"/>
        <w:spacing w:after="0"/>
        <w:tabs>
          <w:tab w:leader="none" w:pos="15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 #</w:t>
      </w:r>
    </w:p>
    <w:p>
      <w:pPr>
        <w:sectPr>
          <w:pgSz w:w="11900" w:h="16838" w:orient="portrait"/>
          <w:cols w:equalWidth="0" w:num="1">
            <w:col w:w="10159"/>
          </w:cols>
          <w:pgMar w:left="300" w:top="612" w:right="1440" w:bottom="1440" w:gutter="0" w:footer="0" w:header="0"/>
        </w:sectPr>
      </w:pPr>
    </w:p>
    <w:bookmarkStart w:id="37" w:name="page38"/>
    <w:bookmarkEnd w:id="37"/>
    <w:p>
      <w:pPr>
        <w:spacing w:after="0" w:line="7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EXHIBIT 10.11</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AMENDMENT AGREEMENT NO. 3</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TO AMENDED AND RESTATED</w:t>
      </w:r>
    </w:p>
    <w:p>
      <w:pPr>
        <w:spacing w:after="0" w:line="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REVOLVING CREDIT AND REIMBURSEMENT AGREEMENT</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THIS AMENDMENT AGREEMENT NO. 3 TO AMENDED AND RESTATED REVOLVING CREDIT AND REIMBURSEMENT AGREEMENT (this "Amendment Agreement") is made and entered into as of this 30th day of December, 1999, by and among WATSCO, INC., a Florida corporation (the "Borrower"), the Lenders signatory hereto (the "Lenders") and BANK OF AMERICA, N.A. (f/k/a NationsBank, National Association), a national banking association, as Agent (the "Agent") for the Lenders party to the Credit Agreement described below.</w:t>
      </w:r>
    </w:p>
    <w:p>
      <w:pPr>
        <w:spacing w:after="0" w:line="16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WITNESSETH:</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WHEREAS, the Borrower, the Agent and the Lenders have entered into an Amended and Restated Revolving Credit Agreement dated August 8, 1997, as amended by Amendment Agreement No. 1 dated February 20, 1998 and Amendment Agreement No. 2 dated June 30, 1999 (the "Credit Agreement") pursuant to which the Lenders have agreed to make available to the Borrower a revolving credit facility of up to $315,000,000; and</w:t>
      </w:r>
    </w:p>
    <w:p>
      <w:pPr>
        <w:spacing w:after="0" w:line="163"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WHEREAS, as a condition to the making of loans the Lenders have required that each Subsidiary of Borrower execute a Facility Guaranty whereby it guarantees payment of the Obligations arising under the Credit Agreement; and</w:t>
      </w:r>
    </w:p>
    <w:p>
      <w:pPr>
        <w:spacing w:after="0" w:line="162"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WHEREAS, the Borrower has requested that the Lenders further amend the Agreement as provided herein;</w:t>
      </w:r>
    </w:p>
    <w:p>
      <w:pPr>
        <w:spacing w:after="0" w:line="161"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NOW, THEREFORE, in consideration of the mutual covenants, promises and conditions herein set forth, it is hereby agreed as follows:</w:t>
      </w:r>
    </w:p>
    <w:p>
      <w:pPr>
        <w:spacing w:after="0" w:line="161" w:lineRule="exact"/>
        <w:rPr>
          <w:sz w:val="20"/>
          <w:szCs w:val="20"/>
          <w:color w:val="auto"/>
        </w:rPr>
      </w:pPr>
    </w:p>
    <w:p>
      <w:pPr>
        <w:ind w:right="3319" w:firstLine="777"/>
        <w:spacing w:after="0" w:line="249" w:lineRule="auto"/>
        <w:tabs>
          <w:tab w:leader="none" w:pos="102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The term "Credit Agreement" as used herein and in the Loan Documents shall mean that certain Amended and Restated Revolving Credit and Reimbursement Agreement dated as of August 8, 1997 by and among the Agent, the Lenders and the Borrower, as heretofore and hereby amended and as from time to time further amended or modified. Unless the context otherwise requires, all capitalized terms used herein without definition shall have the respective meanings provided therefor in the Credit Agreement.</w:t>
      </w:r>
    </w:p>
    <w:p>
      <w:pPr>
        <w:spacing w:after="0" w:line="162" w:lineRule="exact"/>
        <w:rPr>
          <w:rFonts w:ascii="Courier New" w:cs="Courier New" w:eastAsia="Courier New" w:hAnsi="Courier New"/>
          <w:sz w:val="14"/>
          <w:szCs w:val="14"/>
          <w:color w:val="auto"/>
        </w:rPr>
      </w:pPr>
    </w:p>
    <w:p>
      <w:pPr>
        <w:ind w:right="3319" w:firstLine="777"/>
        <w:spacing w:after="0" w:line="250" w:lineRule="auto"/>
        <w:tabs>
          <w:tab w:leader="none" w:pos="102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Subject to the conditions set forth herein, SECTION 8.17 of the Credit Agreement shall be and hereby is amended in its entirety, effective as of the date hereof, so that it shall read as follows:</w:t>
      </w:r>
    </w:p>
    <w:p>
      <w:pPr>
        <w:spacing w:after="0" w:line="162" w:lineRule="exact"/>
        <w:rPr>
          <w:sz w:val="20"/>
          <w:szCs w:val="20"/>
          <w:color w:val="auto"/>
        </w:rPr>
      </w:pPr>
    </w:p>
    <w:p>
      <w:pPr>
        <w:ind w:left="780" w:right="3319"/>
        <w:spacing w:after="0" w:line="250" w:lineRule="auto"/>
        <w:rPr>
          <w:sz w:val="20"/>
          <w:szCs w:val="20"/>
          <w:color w:val="auto"/>
        </w:rPr>
      </w:pPr>
      <w:r>
        <w:rPr>
          <w:rFonts w:ascii="Courier New" w:cs="Courier New" w:eastAsia="Courier New" w:hAnsi="Courier New"/>
          <w:sz w:val="14"/>
          <w:szCs w:val="14"/>
          <w:color w:val="auto"/>
        </w:rPr>
        <w:t>"8.17. NEGATIVE PLEDGE CLAUSES. Other than pursuant to this Agreement and the other Loan Documents and with respect to Private Placement Debt enter into or cause,</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77" w:lineRule="exact"/>
        <w:rPr>
          <w:sz w:val="20"/>
          <w:szCs w:val="20"/>
          <w:color w:val="auto"/>
        </w:rPr>
      </w:pPr>
    </w:p>
    <w:p>
      <w:pPr>
        <w:ind w:left="780" w:right="3319"/>
        <w:spacing w:after="0" w:line="249" w:lineRule="auto"/>
        <w:rPr>
          <w:sz w:val="20"/>
          <w:szCs w:val="20"/>
          <w:color w:val="auto"/>
        </w:rPr>
      </w:pPr>
      <w:r>
        <w:rPr>
          <w:rFonts w:ascii="Courier New" w:cs="Courier New" w:eastAsia="Courier New" w:hAnsi="Courier New"/>
          <w:sz w:val="14"/>
          <w:szCs w:val="14"/>
          <w:color w:val="auto"/>
        </w:rPr>
        <w:t>suffer or permit to exist any agreement with any Person which prohibits or limits the ability of any of the Borrower or any Subsidiary to create, incur, assume or suffer to exist any Lien upon any of its property."</w:t>
      </w:r>
    </w:p>
    <w:p>
      <w:pPr>
        <w:spacing w:after="0" w:line="163" w:lineRule="exact"/>
        <w:rPr>
          <w:sz w:val="20"/>
          <w:szCs w:val="20"/>
          <w:color w:val="auto"/>
        </w:rPr>
      </w:pPr>
    </w:p>
    <w:p>
      <w:pPr>
        <w:ind w:right="3399" w:firstLine="777"/>
        <w:spacing w:after="0" w:line="249" w:lineRule="auto"/>
        <w:tabs>
          <w:tab w:leader="none" w:pos="102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GUARANTORS. Each of the Guarantors has joined into the execution of this Agreement for the purpose of consenting to the amendment contained herein and reaffirming its guaranty of the Obligations as increased by the terms of this Amendment Agreement.</w:t>
      </w:r>
    </w:p>
    <w:p>
      <w:pPr>
        <w:spacing w:after="0" w:line="163" w:lineRule="exact"/>
        <w:rPr>
          <w:rFonts w:ascii="Courier New" w:cs="Courier New" w:eastAsia="Courier New" w:hAnsi="Courier New"/>
          <w:sz w:val="14"/>
          <w:szCs w:val="14"/>
          <w:color w:val="auto"/>
        </w:rPr>
      </w:pPr>
    </w:p>
    <w:p>
      <w:pPr>
        <w:ind w:right="3819" w:firstLine="777"/>
        <w:spacing w:after="0" w:line="251" w:lineRule="auto"/>
        <w:tabs>
          <w:tab w:leader="none" w:pos="102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BORROWER'S REPRESENTATIONS AND WARRANTIES. The Borrower hereby represents, warrants and certifies that:</w:t>
      </w:r>
    </w:p>
    <w:p>
      <w:pPr>
        <w:spacing w:after="0" w:line="161"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made by it in Article VI of the Credit Agreement are true on and as of the date hereof before and after giving effect to this Agreement except that the financial statements referred to in Section 6.6(a) shall be those most recently furnished to each Lender pursuant to Section 7.1(a) and (b) of the Credit Agreement and except that SCHEDULE 6.10 is replaced with SCHEDULE 6.10 attached hereto;</w:t>
      </w:r>
    </w:p>
    <w:p>
      <w:pPr>
        <w:spacing w:after="0" w:line="162" w:lineRule="exact"/>
        <w:rPr>
          <w:rFonts w:ascii="Courier New" w:cs="Courier New" w:eastAsia="Courier New" w:hAnsi="Courier New"/>
          <w:sz w:val="14"/>
          <w:szCs w:val="14"/>
          <w:color w:val="auto"/>
        </w:rPr>
      </w:pPr>
    </w:p>
    <w:p>
      <w:pPr>
        <w:ind w:left="780" w:right="3319" w:firstLine="766"/>
        <w:spacing w:after="0" w:line="250" w:lineRule="auto"/>
        <w:tabs>
          <w:tab w:leader="none" w:pos="189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the power and authority to execute and perform this Agreement and has taken all action required for the lawful execution, delivery and performance thereof.</w:t>
      </w:r>
    </w:p>
    <w:p>
      <w:pPr>
        <w:spacing w:after="0" w:line="161"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material adverse change in the condition, financial or otherwise, of the Borrower and its Subsidiaries since the date of the most recent financial reports of the Borrower received by each Lender under Section 7.1 of the Credit Agreement, other than changes in the ordinary course of business, none of which has been a material adverse change;</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and properties of the Borrower and its Subsidiaries are not, and since the date of the most recent financial report of the Borrower and its Subsidiaries received by the Agent under Section 7.1 of the Credit Agreement have not been, adversely affected in any substantial way as the result of any fire, explosion, earthquake, accident, strike, lockout, combination of workmen, flood, embargo, riot, activities of armed forces, war or acts of God or the public enemy, or cancellation or loss of any major contracts; and</w:t>
      </w:r>
    </w:p>
    <w:p>
      <w:pPr>
        <w:spacing w:after="0" w:line="162" w:lineRule="exact"/>
        <w:rPr>
          <w:rFonts w:ascii="Courier New" w:cs="Courier New" w:eastAsia="Courier New" w:hAnsi="Courier New"/>
          <w:sz w:val="14"/>
          <w:szCs w:val="14"/>
          <w:color w:val="auto"/>
        </w:rPr>
      </w:pPr>
    </w:p>
    <w:p>
      <w:pPr>
        <w:ind w:left="780" w:right="3399" w:firstLine="766"/>
        <w:spacing w:after="0" w:line="249" w:lineRule="auto"/>
        <w:tabs>
          <w:tab w:leader="none" w:pos="189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no condition exists which, upon the consummation of the transaction contemplated hereby, constituted a Default or an Event of Default on the part of the Borrower under the Credit Agreement or the Notes either immediately or with the lapse of time or the giving of notice, or both.</w:t>
      </w:r>
    </w:p>
    <w:p>
      <w:pPr>
        <w:spacing w:after="0" w:line="163" w:lineRule="exact"/>
        <w:rPr>
          <w:rFonts w:ascii="Courier New" w:cs="Courier New" w:eastAsia="Courier New" w:hAnsi="Courier New"/>
          <w:sz w:val="14"/>
          <w:szCs w:val="14"/>
          <w:color w:val="auto"/>
        </w:rPr>
      </w:pPr>
    </w:p>
    <w:p>
      <w:pPr>
        <w:ind w:left="1040" w:hanging="263"/>
        <w:spacing w:after="0"/>
        <w:tabs>
          <w:tab w:leader="none" w:pos="10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EFFECTIVENESS. This Amendment Agreement shall become</w:t>
      </w:r>
    </w:p>
    <w:p>
      <w:pPr>
        <w:sectPr>
          <w:pgSz w:w="11900" w:h="16911" w:orient="portrait"/>
          <w:cols w:equalWidth="0" w:num="1">
            <w:col w:w="10159"/>
          </w:cols>
          <w:pgMar w:left="300" w:top="141" w:right="1440" w:bottom="0" w:gutter="0" w:footer="0" w:header="0"/>
        </w:sectPr>
      </w:pPr>
    </w:p>
    <w:bookmarkStart w:id="38" w:name="page39"/>
    <w:bookmarkEnd w:id="38"/>
    <w:p>
      <w:pPr>
        <w:ind w:right="3479"/>
        <w:spacing w:after="0" w:line="251" w:lineRule="auto"/>
        <w:rPr>
          <w:sz w:val="20"/>
          <w:szCs w:val="20"/>
          <w:color w:val="auto"/>
        </w:rPr>
      </w:pPr>
      <w:r>
        <w:rPr>
          <w:rFonts w:ascii="Courier New" w:cs="Courier New" w:eastAsia="Courier New" w:hAnsi="Courier New"/>
          <w:sz w:val="14"/>
          <w:szCs w:val="14"/>
          <w:color w:val="auto"/>
        </w:rPr>
        <w:t>effective upon receipt by the Agent twelve (12) counterparts of this Amendment Agreement executed by Borrower, the Guarantors and the Required Lenders.</w:t>
      </w:r>
    </w:p>
    <w:p>
      <w:pPr>
        <w:spacing w:after="0" w:line="161" w:lineRule="exact"/>
        <w:rPr>
          <w:sz w:val="20"/>
          <w:szCs w:val="20"/>
          <w:color w:val="auto"/>
        </w:rPr>
      </w:pPr>
    </w:p>
    <w:p>
      <w:pPr>
        <w:jc w:val="both"/>
        <w:ind w:right="3319" w:firstLine="777"/>
        <w:spacing w:after="0" w:line="250" w:lineRule="auto"/>
        <w:tabs>
          <w:tab w:leader="none" w:pos="102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sets forth the entire understanding and agreement of the parties hereto in relation to the subject matter hereof and supersedes any prior</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141" w:right="1440" w:bottom="1440" w:gutter="0" w:footer="0" w:header="0"/>
        </w:sectPr>
      </w:pPr>
    </w:p>
    <w:bookmarkStart w:id="39" w:name="page40"/>
    <w:bookmarkEnd w:id="39"/>
    <w:p>
      <w:pPr>
        <w:ind w:right="3399"/>
        <w:spacing w:after="0" w:line="249" w:lineRule="auto"/>
        <w:rPr>
          <w:sz w:val="20"/>
          <w:szCs w:val="20"/>
          <w:color w:val="auto"/>
        </w:rPr>
      </w:pPr>
      <w:r>
        <w:rPr>
          <w:rFonts w:ascii="Courier New" w:cs="Courier New" w:eastAsia="Courier New" w:hAnsi="Courier New"/>
          <w:sz w:val="14"/>
          <w:szCs w:val="14"/>
          <w:color w:val="auto"/>
        </w:rPr>
        <w:t>negotiations and agreements among the parties relative to such subject matter. None of the terms or conditions of this Agreement may be changed, modified, waived or canceled orally or otherwise, except by writing, signed by all the parties hereto, specifying such change, modification, waiver or cancellation of such terms or conditions, or of any proceeding or succeeding breach thereof.</w:t>
      </w:r>
    </w:p>
    <w:p>
      <w:pPr>
        <w:spacing w:after="0" w:line="163" w:lineRule="exact"/>
        <w:rPr>
          <w:sz w:val="20"/>
          <w:szCs w:val="20"/>
          <w:color w:val="auto"/>
        </w:rPr>
      </w:pPr>
    </w:p>
    <w:p>
      <w:pPr>
        <w:ind w:right="3579" w:firstLine="777"/>
        <w:spacing w:after="0" w:line="249" w:lineRule="auto"/>
        <w:tabs>
          <w:tab w:leader="none" w:pos="102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FORCE AND EFFECT OF AGREEMENT. Except as hereby specifically amended, modified or supplemented, the Credit Agreement and all of the other Loan Documents are hereby confirmed and ratified in all respects and shall remain in full force and effect according to their respective terms.</w:t>
      </w:r>
    </w:p>
    <w:p>
      <w:pPr>
        <w:spacing w:after="0" w:line="163" w:lineRule="exact"/>
        <w:rPr>
          <w:rFonts w:ascii="Courier New" w:cs="Courier New" w:eastAsia="Courier New" w:hAnsi="Courier New"/>
          <w:sz w:val="14"/>
          <w:szCs w:val="14"/>
          <w:color w:val="auto"/>
        </w:rPr>
      </w:pPr>
    </w:p>
    <w:p>
      <w:pPr>
        <w:ind w:right="3919" w:firstLine="777"/>
        <w:spacing w:after="0" w:line="250" w:lineRule="auto"/>
        <w:tabs>
          <w:tab w:leader="none" w:pos="102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and all the counterparts taken together shall be deemed to constitute one and the same instrument.</w:t>
      </w:r>
    </w:p>
    <w:p>
      <w:pPr>
        <w:spacing w:after="0" w:line="162"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[Remainder of page intentionally left blank.]</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12" w:right="1440" w:bottom="1440" w:gutter="0" w:footer="0" w:header="0"/>
        </w:sectPr>
      </w:pPr>
    </w:p>
    <w:bookmarkStart w:id="40" w:name="page41"/>
    <w:bookmarkEnd w:id="40"/>
    <w:p>
      <w:pPr>
        <w:ind w:right="3319" w:firstLine="769"/>
        <w:spacing w:after="0" w:line="250"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by their duly authorized officers, all as of the day and year first above written.</w:t>
      </w:r>
    </w:p>
    <w:p>
      <w:pPr>
        <w:spacing w:after="0" w:line="162"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BORROWER:</w:t>
      </w:r>
    </w:p>
    <w:p>
      <w:pPr>
        <w:spacing w:after="0" w:line="170"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WATSCO,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159"/>
          </w:cols>
          <w:pgMar w:left="300" w:top="612" w:right="1440" w:bottom="1440" w:gutter="0" w:footer="0" w:header="0"/>
        </w:sectPr>
      </w:pP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THOMAS KOCHY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HENRY C. BARNUM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500" w:val="left"/>
          <w:tab w:leader="none" w:pos="9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BARRY S. LOGAN</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Barry S. Logan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Vice President of Finance and</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ectPr>
          <w:pgSz w:w="11900" w:h="16838" w:orient="portrait"/>
          <w:cols w:equalWidth="0" w:num="2">
            <w:col w:w="3040" w:space="720"/>
            <w:col w:w="6399"/>
          </w:cols>
          <w:pgMar w:left="300" w:top="612" w:right="1440" w:bottom="1440" w:gutter="0" w:footer="0" w:header="0"/>
          <w:type w:val="continuous"/>
        </w:sectPr>
      </w:pPr>
    </w:p>
    <w:p>
      <w:pPr>
        <w:spacing w:after="0" w:line="134" w:lineRule="exact"/>
        <w:rPr>
          <w:sz w:val="20"/>
          <w:szCs w:val="20"/>
          <w:color w:val="auto"/>
        </w:rPr>
      </w:pPr>
    </w:p>
    <w:p>
      <w:pPr>
        <w:ind w:left="33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159"/>
          </w:cols>
          <w:pgMar w:left="300" w:top="612" w:right="1440" w:bottom="1440" w:gutter="0" w:footer="0" w:header="0"/>
          <w:type w:val="continuous"/>
        </w:sectPr>
      </w:pPr>
    </w:p>
    <w:bookmarkStart w:id="41" w:name="page42"/>
    <w:bookmarkEnd w:id="41"/>
    <w:p>
      <w:pPr>
        <w:ind w:left="3760"/>
        <w:spacing w:after="0"/>
        <w:rPr>
          <w:sz w:val="20"/>
          <w:szCs w:val="20"/>
          <w:color w:val="auto"/>
        </w:rPr>
      </w:pPr>
      <w:r>
        <w:rPr>
          <w:rFonts w:ascii="Courier New" w:cs="Courier New" w:eastAsia="Courier New" w:hAnsi="Courier New"/>
          <w:sz w:val="14"/>
          <w:szCs w:val="14"/>
          <w:color w:val="auto"/>
        </w:rPr>
        <w:t>GUARANTORS:</w:t>
      </w:r>
    </w:p>
    <w:p>
      <w:pPr>
        <w:sectPr>
          <w:pgSz w:w="11900" w:h="16838" w:orient="portrait"/>
          <w:cols w:equalWidth="0" w:num="1">
            <w:col w:w="10159"/>
          </w:cols>
          <w:pgMar w:left="300" w:top="6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THOMAS KOCHY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HENRY C. BARNUM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WATSCO INVESTMENTS 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WATSCO INVESTMENTS II,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CDS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COASTLINE DISTRIBUTION,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A&amp;C DISTRIBUTORS,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GEMAIRE DISTRIBUTORS,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H.B. ADAMS DISTRIBUTORS,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GEM CREDIT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FLORIDA AD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GEMAIRE INTERNATIONAL,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GEMAIRE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GEMAIRE CARIBE,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COMFORT SUPPLY,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WATSCO EXPORT,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HOUSTON AD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HEATING &amp; COOLING SUPPLY,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STATES SUPPLY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CP DISTRIBUTORS,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COMFORT PRODUCTS DISTRIBUTING,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PLAINS DISTRIBUTING,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AIR CONDITIONING</w:t>
      </w:r>
    </w:p>
    <w:p>
      <w:pPr>
        <w:spacing w:after="0" w:line="6" w:lineRule="exact"/>
        <w:rPr>
          <w:sz w:val="20"/>
          <w:szCs w:val="20"/>
          <w:color w:val="auto"/>
        </w:rPr>
      </w:pPr>
    </w:p>
    <w:p>
      <w:pPr>
        <w:ind w:left="100"/>
        <w:spacing w:after="0"/>
        <w:tabs>
          <w:tab w:leader="none" w:pos="1360" w:val="left"/>
        </w:tabs>
        <w:rPr>
          <w:sz w:val="20"/>
          <w:szCs w:val="20"/>
          <w:color w:val="auto"/>
        </w:rPr>
      </w:pPr>
      <w:r>
        <w:rPr>
          <w:rFonts w:ascii="Courier New" w:cs="Courier New" w:eastAsia="Courier New" w:hAnsi="Courier New"/>
          <w:sz w:val="14"/>
          <w:szCs w:val="14"/>
          <w:color w:val="auto"/>
        </w:rPr>
        <w:t>DISTRIBUTORS,</w:t>
        <w:tab/>
        <w:t>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WEATHERTROL SUPPLY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AIR SYSTEMS DISTRIBUTORS,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STAFFING SYSTEMS,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TEMPORARY SYSTEMS OF</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INDIANAPOLIS,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TEMPORARY SYSTEM OF</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INDIANAPOLIS, 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TEMPORARY SYSTEMS,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PERSONNEL SYSTEM OF</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NEW JERSEY,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STAFFING SYSTEMS OF</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MILWAUKEE,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ENTERPRISES, INC.</w:t>
      </w:r>
    </w:p>
    <w:p>
      <w:pPr>
        <w:spacing w:after="0" w:line="364" w:lineRule="exact"/>
        <w:rPr>
          <w:sz w:val="20"/>
          <w:szCs w:val="20"/>
          <w:color w:val="auto"/>
        </w:rPr>
      </w:pPr>
    </w:p>
    <w:p>
      <w:pPr>
        <w:sectPr>
          <w:pgSz w:w="11900" w:h="16838" w:orient="portrait"/>
          <w:cols w:equalWidth="0" w:num="2">
            <w:col w:w="3040" w:space="720"/>
            <w:col w:w="6399"/>
          </w:cols>
          <w:pgMar w:left="300" w:top="612" w:right="1440" w:bottom="1440" w:gutter="0" w:footer="0" w:header="0"/>
          <w:type w:val="continuous"/>
        </w:sectPr>
      </w:pPr>
    </w:p>
    <w:p>
      <w:pPr>
        <w:spacing w:after="0" w:line="299" w:lineRule="exact"/>
        <w:rPr>
          <w:sz w:val="20"/>
          <w:szCs w:val="20"/>
          <w:color w:val="auto"/>
        </w:rPr>
      </w:pPr>
    </w:p>
    <w:p>
      <w:pPr>
        <w:ind w:left="3760"/>
        <w:spacing w:after="0"/>
        <w:tabs>
          <w:tab w:leader="none" w:pos="4180" w:val="left"/>
        </w:tabs>
        <w:rPr>
          <w:sz w:val="20"/>
          <w:szCs w:val="20"/>
          <w:color w:val="auto"/>
        </w:rPr>
      </w:pPr>
      <w:r>
        <w:rPr>
          <w:rFonts w:ascii="Courier New" w:cs="Courier New" w:eastAsia="Courier New" w:hAnsi="Courier New"/>
          <w:sz w:val="14"/>
          <w:szCs w:val="14"/>
          <w:color w:val="auto"/>
        </w:rPr>
        <w:t>By:</w:t>
        <w:tab/>
        <w:t>/S/ BARRY S. LOGAN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Name: Barry S. Logan</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12" w:right="1440" w:bottom="1440" w:gutter="0" w:footer="0" w:header="0"/>
          <w:type w:val="continuous"/>
        </w:sectPr>
      </w:pPr>
    </w:p>
    <w:bookmarkStart w:id="42" w:name="page43"/>
    <w:bookmarkEnd w:id="42"/>
    <w:p>
      <w:pPr>
        <w:ind w:left="3760"/>
        <w:spacing w:after="0"/>
        <w:rPr>
          <w:sz w:val="20"/>
          <w:szCs w:val="20"/>
          <w:color w:val="auto"/>
        </w:rPr>
      </w:pPr>
      <w:r>
        <w:rPr>
          <w:rFonts w:ascii="Courier New" w:cs="Courier New" w:eastAsia="Courier New" w:hAnsi="Courier New"/>
          <w:sz w:val="14"/>
          <w:szCs w:val="14"/>
          <w:color w:val="auto"/>
        </w:rPr>
        <w:t>BAKER DISTRIBUTING COMPANY</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INTERCOMPANY SERVICES INCORPORATED</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AIR SUPPLY, INC.</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WSO DISTRIBUTORS LLC</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WSO HOLDINGS LLC</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DUNHILL HOLDINGS LLC</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BELKNAP COMPANY</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A C EQUIPMENT &amp; PARTS, INC.</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SUPERIOR SUPPLY COMPANY, INC.</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SUPERIOR SUPPLY COMPANY OF</w:t>
      </w:r>
    </w:p>
    <w:p>
      <w:pPr>
        <w:spacing w:after="0" w:line="6"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4"/>
          <w:szCs w:val="14"/>
          <w:color w:val="auto"/>
        </w:rPr>
        <w:t>OKLAHOMA, INC.</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KAUFMAN SUPPLY, INC.</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YRK HOLDINGS, INC.</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HOMANS ASSOCIATES, INC.</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HEAT INCORPORATED</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COMFORT-AIRE DISTRIBUTORS</w:t>
      </w:r>
    </w:p>
    <w:p>
      <w:pPr>
        <w:spacing w:after="0" w:line="6" w:lineRule="exact"/>
        <w:rPr>
          <w:sz w:val="20"/>
          <w:szCs w:val="20"/>
          <w:color w:val="auto"/>
        </w:rPr>
      </w:pPr>
    </w:p>
    <w:p>
      <w:pPr>
        <w:spacing w:after="0"/>
        <w:tabs>
          <w:tab w:leader="none" w:pos="3740" w:val="left"/>
        </w:tabs>
        <w:rPr>
          <w:sz w:val="20"/>
          <w:szCs w:val="20"/>
          <w:color w:val="auto"/>
        </w:rPr>
      </w:pPr>
      <w:r>
        <w:rPr>
          <w:rFonts w:ascii="Courier New" w:cs="Courier New" w:eastAsia="Courier New" w:hAnsi="Courier New"/>
          <w:sz w:val="14"/>
          <w:szCs w:val="14"/>
          <w:color w:val="auto"/>
        </w:rPr>
        <w:t>WITNESS:</w:t>
      </w:r>
      <w:r>
        <w:rPr>
          <w:sz w:val="20"/>
          <w:szCs w:val="20"/>
          <w:color w:val="auto"/>
        </w:rPr>
        <w:tab/>
      </w:r>
      <w:r>
        <w:rPr>
          <w:rFonts w:ascii="Courier New" w:cs="Courier New" w:eastAsia="Courier New" w:hAnsi="Courier New"/>
          <w:sz w:val="14"/>
          <w:szCs w:val="14"/>
          <w:color w:val="auto"/>
        </w:rPr>
        <w:t>NSI SUPPLY, INC.</w:t>
      </w:r>
    </w:p>
    <w:p>
      <w:pPr>
        <w:spacing w:after="0" w:line="6"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WILLIAM WURZBACH COMPANY, INC.</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THOMAS KOCHY</w:t>
      </w:r>
    </w:p>
    <w:p>
      <w:pPr>
        <w:spacing w:after="0" w:line="6"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 HENRY C. BARNUM</w:t>
      </w:r>
    </w:p>
    <w:p>
      <w:pPr>
        <w:spacing w:after="0" w:line="5"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760"/>
        <w:spacing w:after="0"/>
        <w:tabs>
          <w:tab w:leader="none" w:pos="4180" w:val="left"/>
        </w:tabs>
        <w:rPr>
          <w:sz w:val="20"/>
          <w:szCs w:val="20"/>
          <w:color w:val="auto"/>
        </w:rPr>
      </w:pPr>
      <w:r>
        <w:rPr>
          <w:rFonts w:ascii="Courier New" w:cs="Courier New" w:eastAsia="Courier New" w:hAnsi="Courier New"/>
          <w:sz w:val="14"/>
          <w:szCs w:val="14"/>
          <w:color w:val="auto"/>
        </w:rPr>
        <w:t>By:</w:t>
        <w:tab/>
        <w:t>/S/ BARRY S. LOGAN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Name: Barry S. Logan</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777" w:right="1440" w:bottom="1440" w:gutter="0" w:footer="0" w:header="0"/>
        </w:sectPr>
      </w:pPr>
    </w:p>
    <w:bookmarkStart w:id="43" w:name="page44"/>
    <w:bookmarkEnd w:id="43"/>
    <w:p>
      <w:pPr>
        <w:ind w:left="2620"/>
        <w:spacing w:after="0"/>
        <w:rPr>
          <w:sz w:val="20"/>
          <w:szCs w:val="20"/>
          <w:color w:val="auto"/>
        </w:rPr>
      </w:pPr>
      <w:r>
        <w:rPr>
          <w:rFonts w:ascii="Courier New" w:cs="Courier New" w:eastAsia="Courier New" w:hAnsi="Courier New"/>
          <w:sz w:val="14"/>
          <w:szCs w:val="14"/>
          <w:color w:val="auto"/>
        </w:rPr>
        <w:t>AGENT:</w:t>
      </w:r>
    </w:p>
    <w:p>
      <w:pPr>
        <w:spacing w:after="0" w:line="17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BANK OF AMERCA, N.A., as Agent for</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the Lenders</w:t>
      </w:r>
    </w:p>
    <w:p>
      <w:pPr>
        <w:spacing w:after="0" w:line="334" w:lineRule="exact"/>
        <w:rPr>
          <w:sz w:val="20"/>
          <w:szCs w:val="20"/>
          <w:color w:val="auto"/>
        </w:rPr>
      </w:pPr>
    </w:p>
    <w:p>
      <w:pPr>
        <w:ind w:left="2620"/>
        <w:spacing w:after="0"/>
        <w:tabs>
          <w:tab w:leader="none" w:pos="31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RICHARD M. STARKE</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Richard M. Starke</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Managing Director</w:t>
      </w:r>
    </w:p>
    <w:p>
      <w:pPr>
        <w:spacing w:after="0" w:line="17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LENDERS:</w:t>
      </w:r>
    </w:p>
    <w:p>
      <w:pPr>
        <w:spacing w:after="0" w:line="17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BANK OFAMERICA, N.A.</w:t>
      </w:r>
    </w:p>
    <w:p>
      <w:pPr>
        <w:spacing w:after="0" w:line="334" w:lineRule="exact"/>
        <w:rPr>
          <w:sz w:val="20"/>
          <w:szCs w:val="20"/>
          <w:color w:val="auto"/>
        </w:rPr>
      </w:pPr>
    </w:p>
    <w:p>
      <w:pPr>
        <w:ind w:left="2620"/>
        <w:spacing w:after="0"/>
        <w:tabs>
          <w:tab w:leader="none" w:pos="31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RICHARD M. STARKE</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Richard M. Starke</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Managing Director</w:t>
      </w:r>
    </w:p>
    <w:p>
      <w:pPr>
        <w:spacing w:after="0" w:line="33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019"/>
          </w:cols>
          <w:pgMar w:left="1440" w:top="612" w:right="1440" w:bottom="1440" w:gutter="0" w:footer="0" w:header="0"/>
        </w:sectPr>
      </w:pPr>
    </w:p>
    <w:bookmarkStart w:id="44" w:name="page45"/>
    <w:bookmarkEnd w:id="44"/>
    <w:p>
      <w:pPr>
        <w:ind w:left="2620"/>
        <w:spacing w:after="0"/>
        <w:rPr>
          <w:sz w:val="20"/>
          <w:szCs w:val="20"/>
          <w:color w:val="auto"/>
        </w:rPr>
      </w:pPr>
      <w:r>
        <w:rPr>
          <w:rFonts w:ascii="Courier New" w:cs="Courier New" w:eastAsia="Courier New" w:hAnsi="Courier New"/>
          <w:sz w:val="14"/>
          <w:szCs w:val="14"/>
          <w:color w:val="auto"/>
        </w:rPr>
        <w:t>FIRST UNION NATIONAL BANK</w:t>
      </w:r>
    </w:p>
    <w:p>
      <w:pPr>
        <w:spacing w:after="0" w:line="334"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MARY A. MORGAN</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Mary A. Morgan</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Senior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612" w:right="1440" w:bottom="1440" w:gutter="0" w:footer="0" w:header="0"/>
        </w:sectPr>
      </w:pPr>
    </w:p>
    <w:bookmarkStart w:id="45" w:name="page46"/>
    <w:bookmarkEnd w:id="45"/>
    <w:p>
      <w:pPr>
        <w:ind w:left="2620"/>
        <w:spacing w:after="0"/>
        <w:rPr>
          <w:sz w:val="20"/>
          <w:szCs w:val="20"/>
          <w:color w:val="auto"/>
        </w:rPr>
      </w:pPr>
      <w:r>
        <w:rPr>
          <w:rFonts w:ascii="Courier New" w:cs="Courier New" w:eastAsia="Courier New" w:hAnsi="Courier New"/>
          <w:sz w:val="14"/>
          <w:szCs w:val="14"/>
          <w:color w:val="auto"/>
        </w:rPr>
        <w:t>SUNTRUST BANK, MIAMI, N.A.</w:t>
      </w:r>
    </w:p>
    <w:p>
      <w:pPr>
        <w:spacing w:after="0" w:line="334"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DAVID EDGE</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David Edge</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019"/>
          </w:cols>
          <w:pgMar w:left="1440" w:top="613" w:right="1440" w:bottom="1440" w:gutter="0" w:footer="0" w:header="0"/>
        </w:sectPr>
      </w:pPr>
    </w:p>
    <w:bookmarkStart w:id="46" w:name="page47"/>
    <w:bookmarkEnd w:id="46"/>
    <w:p>
      <w:pPr>
        <w:ind w:left="2620"/>
        <w:spacing w:after="0"/>
        <w:rPr>
          <w:sz w:val="20"/>
          <w:szCs w:val="20"/>
          <w:color w:val="auto"/>
        </w:rPr>
      </w:pPr>
      <w:r>
        <w:rPr>
          <w:rFonts w:ascii="Courier New" w:cs="Courier New" w:eastAsia="Courier New" w:hAnsi="Courier New"/>
          <w:sz w:val="14"/>
          <w:szCs w:val="14"/>
          <w:color w:val="auto"/>
        </w:rPr>
        <w:t>THE BANK OF NEW YORK</w:t>
      </w:r>
    </w:p>
    <w:p>
      <w:pPr>
        <w:spacing w:after="0" w:line="334"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DAVID C. SIEGEL</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David C. Siegel</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612" w:right="1440" w:bottom="1440" w:gutter="0" w:footer="0" w:header="0"/>
        </w:sectPr>
      </w:pPr>
    </w:p>
    <w:bookmarkStart w:id="47" w:name="page48"/>
    <w:bookmarkEnd w:id="47"/>
    <w:p>
      <w:pPr>
        <w:ind w:left="2620"/>
        <w:spacing w:after="0"/>
        <w:rPr>
          <w:sz w:val="20"/>
          <w:szCs w:val="20"/>
          <w:color w:val="auto"/>
        </w:rPr>
      </w:pPr>
      <w:r>
        <w:rPr>
          <w:rFonts w:ascii="Courier New" w:cs="Courier New" w:eastAsia="Courier New" w:hAnsi="Courier New"/>
          <w:sz w:val="14"/>
          <w:szCs w:val="14"/>
          <w:color w:val="auto"/>
        </w:rPr>
        <w:t>THE BANK OF TOKYO-MITSUBISHI, LTD.</w:t>
      </w:r>
    </w:p>
    <w:p>
      <w:pPr>
        <w:spacing w:after="0" w:line="334"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THOMAS FENNESSEY</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Thomas Fennessey</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612" w:right="1440" w:bottom="1440" w:gutter="0" w:footer="0" w:header="0"/>
        </w:sectPr>
      </w:pPr>
    </w:p>
    <w:bookmarkStart w:id="48" w:name="page49"/>
    <w:bookmarkEnd w:id="48"/>
    <w:p>
      <w:pPr>
        <w:ind w:left="2620"/>
        <w:spacing w:after="0"/>
        <w:rPr>
          <w:sz w:val="20"/>
          <w:szCs w:val="20"/>
          <w:color w:val="auto"/>
        </w:rPr>
      </w:pPr>
      <w:r>
        <w:rPr>
          <w:rFonts w:ascii="Courier New" w:cs="Courier New" w:eastAsia="Courier New" w:hAnsi="Courier New"/>
          <w:sz w:val="14"/>
          <w:szCs w:val="14"/>
          <w:color w:val="auto"/>
        </w:rPr>
        <w:t>COMERICA BANK</w:t>
      </w:r>
    </w:p>
    <w:p>
      <w:pPr>
        <w:spacing w:after="0" w:line="334"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MARTIN G. ELLIS</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Martin G. Ellis</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019"/>
          </w:cols>
          <w:pgMar w:left="1440" w:top="613" w:right="1440" w:bottom="1440" w:gutter="0" w:footer="0" w:header="0"/>
        </w:sectPr>
      </w:pPr>
    </w:p>
    <w:bookmarkStart w:id="49" w:name="page50"/>
    <w:bookmarkEnd w:id="49"/>
    <w:p>
      <w:pPr>
        <w:ind w:left="2620"/>
        <w:spacing w:after="0"/>
        <w:rPr>
          <w:sz w:val="20"/>
          <w:szCs w:val="20"/>
          <w:color w:val="auto"/>
        </w:rPr>
      </w:pPr>
      <w:r>
        <w:rPr>
          <w:rFonts w:ascii="Courier New" w:cs="Courier New" w:eastAsia="Courier New" w:hAnsi="Courier New"/>
          <w:sz w:val="14"/>
          <w:szCs w:val="14"/>
          <w:color w:val="auto"/>
        </w:rPr>
        <w:t>WACHOVIA BANK, N.A.</w:t>
      </w:r>
    </w:p>
    <w:p>
      <w:pPr>
        <w:spacing w:after="0" w:line="334"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PATRICK A. PHELAN</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Patrick A. Phelan</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019"/>
          </w:cols>
          <w:pgMar w:left="1440" w:top="612" w:right="1440" w:bottom="1440" w:gutter="0" w:footer="0" w:header="0"/>
        </w:sectPr>
      </w:pPr>
    </w:p>
    <w:bookmarkStart w:id="50" w:name="page51"/>
    <w:bookmarkEnd w:id="50"/>
    <w:p>
      <w:pPr>
        <w:ind w:left="2620"/>
        <w:spacing w:after="0"/>
        <w:rPr>
          <w:sz w:val="20"/>
          <w:szCs w:val="20"/>
          <w:color w:val="auto"/>
        </w:rPr>
      </w:pPr>
      <w:r>
        <w:rPr>
          <w:rFonts w:ascii="Courier New" w:cs="Courier New" w:eastAsia="Courier New" w:hAnsi="Courier New"/>
          <w:sz w:val="14"/>
          <w:szCs w:val="14"/>
          <w:color w:val="auto"/>
        </w:rPr>
        <w:t>DRESDNER BANK LATEINAMERIKA AG</w:t>
      </w:r>
    </w:p>
    <w:p>
      <w:pPr>
        <w:spacing w:after="0" w:line="170"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4"/>
          <w:szCs w:val="14"/>
          <w:color w:val="auto"/>
        </w:rPr>
        <w:t>(unsigned)</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______________________________</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_____________________________</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019"/>
          </w:cols>
          <w:pgMar w:left="1440" w:top="612" w:right="1440" w:bottom="1440" w:gutter="0" w:footer="0" w:header="0"/>
        </w:sectPr>
      </w:pPr>
    </w:p>
    <w:bookmarkStart w:id="51" w:name="page52"/>
    <w:bookmarkEnd w:id="51"/>
    <w:p>
      <w:pPr>
        <w:ind w:left="2540"/>
        <w:spacing w:after="0"/>
        <w:rPr>
          <w:sz w:val="20"/>
          <w:szCs w:val="20"/>
          <w:color w:val="auto"/>
        </w:rPr>
      </w:pPr>
      <w:r>
        <w:rPr>
          <w:rFonts w:ascii="Courier New" w:cs="Courier New" w:eastAsia="Courier New" w:hAnsi="Courier New"/>
          <w:sz w:val="14"/>
          <w:szCs w:val="14"/>
          <w:color w:val="auto"/>
        </w:rPr>
        <w:t>DG BANK DEUTSCHE GENOSSENSCHAFTSBANK</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AG, CAYMAN ISLANDS BRANCH</w:t>
      </w:r>
    </w:p>
    <w:p>
      <w:pPr>
        <w:spacing w:after="0" w:line="334" w:lineRule="exact"/>
        <w:rPr>
          <w:sz w:val="20"/>
          <w:szCs w:val="20"/>
          <w:color w:val="auto"/>
        </w:rPr>
      </w:pPr>
    </w:p>
    <w:p>
      <w:pPr>
        <w:ind w:left="2540"/>
        <w:spacing w:after="0"/>
        <w:tabs>
          <w:tab w:leader="none" w:pos="2940" w:val="left"/>
        </w:tabs>
        <w:rPr>
          <w:sz w:val="20"/>
          <w:szCs w:val="20"/>
          <w:color w:val="auto"/>
        </w:rPr>
      </w:pPr>
      <w:r>
        <w:rPr>
          <w:rFonts w:ascii="Courier New" w:cs="Courier New" w:eastAsia="Courier New" w:hAnsi="Courier New"/>
          <w:sz w:val="14"/>
          <w:szCs w:val="14"/>
          <w:color w:val="auto"/>
        </w:rPr>
        <w:t>By:</w:t>
        <w:tab/>
        <w:t>/S/ KURT A .MORRIS</w:t>
      </w:r>
    </w:p>
    <w:p>
      <w:pPr>
        <w:spacing w:after="0" w:line="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Name: Kurt A. Morris</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540"/>
        <w:spacing w:after="0"/>
        <w:tabs>
          <w:tab w:leader="none" w:pos="2940" w:val="left"/>
        </w:tabs>
        <w:rPr>
          <w:sz w:val="20"/>
          <w:szCs w:val="20"/>
          <w:color w:val="auto"/>
        </w:rPr>
      </w:pPr>
      <w:r>
        <w:rPr>
          <w:rFonts w:ascii="Courier New" w:cs="Courier New" w:eastAsia="Courier New" w:hAnsi="Courier New"/>
          <w:sz w:val="14"/>
          <w:szCs w:val="14"/>
          <w:color w:val="auto"/>
        </w:rPr>
        <w:t>By:</w:t>
        <w:tab/>
        <w:t>/S/ J.W. SOMERS</w:t>
      </w:r>
    </w:p>
    <w:p>
      <w:pPr>
        <w:spacing w:after="0" w:line="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Name: J.W. Somers</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Title: Senior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019"/>
          </w:cols>
          <w:pgMar w:left="1440" w:top="612" w:right="1440" w:bottom="1440" w:gutter="0" w:footer="0" w:header="0"/>
        </w:sectPr>
      </w:pPr>
    </w:p>
    <w:bookmarkStart w:id="52" w:name="page53"/>
    <w:bookmarkEnd w:id="52"/>
    <w:p>
      <w:pPr>
        <w:ind w:left="2540"/>
        <w:spacing w:after="0"/>
        <w:rPr>
          <w:sz w:val="20"/>
          <w:szCs w:val="20"/>
          <w:color w:val="auto"/>
        </w:rPr>
      </w:pPr>
      <w:r>
        <w:rPr>
          <w:rFonts w:ascii="Courier New" w:cs="Courier New" w:eastAsia="Courier New" w:hAnsi="Courier New"/>
          <w:sz w:val="14"/>
          <w:szCs w:val="14"/>
          <w:color w:val="auto"/>
        </w:rPr>
        <w:t>THE INDUSTRIAL BANK OF JAPAN, LIMITED</w:t>
      </w:r>
    </w:p>
    <w:p>
      <w:pPr>
        <w:spacing w:after="0" w:line="170"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4"/>
          <w:szCs w:val="14"/>
          <w:color w:val="auto"/>
        </w:rPr>
        <w:t>(unsigned)</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Name: ______________________________</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Title: _____________________________</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019"/>
          </w:cols>
          <w:pgMar w:left="1440" w:top="612" w:right="1440" w:bottom="1440" w:gutter="0" w:footer="0" w:header="0"/>
        </w:sectPr>
      </w:pPr>
    </w:p>
    <w:bookmarkStart w:id="53" w:name="page54"/>
    <w:bookmarkEnd w:id="53"/>
    <w:p>
      <w:pPr>
        <w:ind w:left="2620"/>
        <w:spacing w:after="0"/>
        <w:rPr>
          <w:sz w:val="20"/>
          <w:szCs w:val="20"/>
          <w:color w:val="auto"/>
        </w:rPr>
      </w:pPr>
      <w:r>
        <w:rPr>
          <w:rFonts w:ascii="Courier New" w:cs="Courier New" w:eastAsia="Courier New" w:hAnsi="Courier New"/>
          <w:sz w:val="14"/>
          <w:szCs w:val="14"/>
          <w:color w:val="auto"/>
        </w:rPr>
        <w:t>THE NORTHERN TRUST COMPANY</w:t>
      </w:r>
    </w:p>
    <w:p>
      <w:pPr>
        <w:spacing w:after="0" w:line="200" w:lineRule="exact"/>
        <w:rPr>
          <w:sz w:val="20"/>
          <w:szCs w:val="20"/>
          <w:color w:val="auto"/>
        </w:rPr>
      </w:pPr>
    </w:p>
    <w:p>
      <w:pPr>
        <w:spacing w:after="0" w:line="299"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RAHEELY GILL ANWAR</w:t>
      </w:r>
    </w:p>
    <w:p>
      <w:pPr>
        <w:spacing w:after="0" w:line="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Raheely Gill Anwar</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Vice President</w:t>
      </w:r>
    </w:p>
    <w:p>
      <w:pPr>
        <w:spacing w:after="0" w:line="170"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019"/>
          </w:cols>
          <w:pgMar w:left="1440" w:top="612" w:right="1440" w:bottom="1440" w:gutter="0" w:footer="0" w:header="0"/>
        </w:sectPr>
      </w:pPr>
    </w:p>
    <w:bookmarkStart w:id="54" w:name="page55"/>
    <w:bookmarkEnd w:id="54"/>
    <w:p>
      <w:pPr>
        <w:jc w:val="center"/>
        <w:ind w:right="3219"/>
        <w:spacing w:after="0"/>
        <w:rPr>
          <w:sz w:val="20"/>
          <w:szCs w:val="20"/>
          <w:color w:val="auto"/>
        </w:rPr>
      </w:pPr>
      <w:r>
        <w:rPr>
          <w:rFonts w:ascii="Courier New" w:cs="Courier New" w:eastAsia="Courier New" w:hAnsi="Courier New"/>
          <w:sz w:val="14"/>
          <w:szCs w:val="14"/>
          <w:color w:val="auto"/>
        </w:rPr>
        <w:t>ACKNOWLEDGEMENT OF EXECUTION ON BEHALF OF</w:t>
      </w:r>
    </w:p>
    <w:p>
      <w:pPr>
        <w:spacing w:after="0" w:line="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WATSCO, INC.</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NORTH CAROLINA</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FORSYTH</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Before me, the undersigned, a Notary Public in and for said County and State on this 28th day of January, 2000 A.D., personally appeared Barry S. Logan, known to be the Vice President of Finance and Chief Financial Officer of Watsco, Inc. (the "Borrower"), who, being by me duly sworn, says he works at 2665 S. Bayshore Drive, Coconut Grove, Florida 33133 and that by authority duly given by, and as the act of, the Borrower, Amendment Agreement No. 3 to Amended and Restated Revolving Credit and Reimbursement Agreement dated as of December 30, 1999 was signed by him as said Vice President of Finance and Chief Financial Officer on behalf of the Borrower.</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Witness my hand and official seal this 28th day of January, 2000.</w:t>
      </w:r>
    </w:p>
    <w:p>
      <w:pPr>
        <w:spacing w:after="0" w:line="170" w:lineRule="exact"/>
        <w:rPr>
          <w:sz w:val="20"/>
          <w:szCs w:val="20"/>
          <w:color w:val="auto"/>
        </w:rPr>
      </w:pPr>
    </w:p>
    <w:p>
      <w:pPr>
        <w:jc w:val="center"/>
        <w:ind w:right="-180"/>
        <w:spacing w:after="0"/>
        <w:tabs>
          <w:tab w:leader="none" w:pos="160" w:val="left"/>
        </w:tabs>
        <w:rPr>
          <w:sz w:val="20"/>
          <w:szCs w:val="20"/>
          <w:color w:val="auto"/>
        </w:rPr>
      </w:pPr>
      <w:r>
        <w:rPr>
          <w:rFonts w:ascii="Courier New" w:cs="Courier New" w:eastAsia="Courier New" w:hAnsi="Courier New"/>
          <w:sz w:val="14"/>
          <w:szCs w:val="14"/>
          <w:color w:val="auto"/>
        </w:rPr>
        <w:t>/S/</w:t>
        <w:tab/>
        <w:t>NANCY N. ROBEY-BOGAN</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Notary Public</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 8/18/2001</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777" w:right="1440" w:bottom="1440" w:gutter="0" w:footer="0" w:header="0"/>
        </w:sectPr>
      </w:pPr>
    </w:p>
    <w:bookmarkStart w:id="55" w:name="page56"/>
    <w:bookmarkEnd w:id="55"/>
    <w:p>
      <w:pPr>
        <w:spacing w:after="0" w:line="79"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EXHIBIT 10.12</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AMENDMENT AGREEMENT NO. 4</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TO AMENDED AND RESTATED</w:t>
      </w:r>
    </w:p>
    <w:p>
      <w:pPr>
        <w:spacing w:after="0" w:line="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REVOLVING CREDIT AND REIMBURSEMENT AGREEMENT</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THIS AMENDMENT AGREEMENT NO. 4 TO AMENDED AND RESTATED REVOLVING CREDIT AND REIMBURSEMENT AGREEMENT (this "Amendment Agreement") is made and entered into as of this 14th day of March, 2000, by and among WATSCO, INC., a Florida corporation (the "Borrower"), the Lenders signatory hereto (the "Lenders") and BANK OF AMERICA, N.A. (f/k/a NationsBank, National Association), a national banking association, as Agent (the "Agent") for the Lenders party to the Credit Agreement described below.</w:t>
      </w:r>
    </w:p>
    <w:p>
      <w:pPr>
        <w:spacing w:after="0" w:line="16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WITNESSETH:</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WHEREAS, the Borrower, the Agent and the Lenders have entered into an Amended and Restated Revolving Credit Agreement dated August 8, 1997, as amended by Amendment Agreement No. 1 dated February 20, 1998, Amendment Agreement No. 2 dated June 30, 1999 and Amendment Agreement No. 3 dated December 30, 1999 (the "Credit Agreement") pursuant to which the Lenders have agreed to make available to the Borrower a revolving credit facility of up to $315,000,000; and</w:t>
      </w:r>
    </w:p>
    <w:p>
      <w:pPr>
        <w:spacing w:after="0" w:line="163"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WHEREAS, as a condition to the making of loans the Lenders have required that each Subsidiary of Borrower execute a Facility Guaranty whereby it guarantees payment of the Obligations arising under the Credit Agreement; and</w:t>
      </w:r>
    </w:p>
    <w:p>
      <w:pPr>
        <w:spacing w:after="0" w:line="162"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WHEREAS, the Borrower has requested that the Lenders further amend the Agreement as provided herein;</w:t>
      </w:r>
    </w:p>
    <w:p>
      <w:pPr>
        <w:spacing w:after="0" w:line="161"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NOW, THEREFORE, in consideration of the mutual covenants, promises and conditions herein set forth, it is hereby agreed as follows:</w:t>
      </w:r>
    </w:p>
    <w:p>
      <w:pPr>
        <w:spacing w:after="0" w:line="161" w:lineRule="exact"/>
        <w:rPr>
          <w:sz w:val="20"/>
          <w:szCs w:val="20"/>
          <w:color w:val="auto"/>
        </w:rPr>
      </w:pPr>
    </w:p>
    <w:p>
      <w:pPr>
        <w:ind w:right="3319" w:firstLine="777"/>
        <w:spacing w:after="0" w:line="249" w:lineRule="auto"/>
        <w:tabs>
          <w:tab w:leader="none" w:pos="102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The term "Credit Agreement" as used herein and in the Loan Documents shall mean that certain Amended and Restated Revolving Credit and Reimbursement Agreement dated as of August 8, 1997 by and among the Agent, the Lenders and the Borrower, as heretofore and hereby amended and as from time to time further amended or modified. Unless the context otherwise requires, all capitalized terms used herein without definition shall have the respective meanings provided therefor in the Credit Agreement.</w:t>
      </w:r>
    </w:p>
    <w:p>
      <w:pPr>
        <w:spacing w:after="0" w:line="162" w:lineRule="exact"/>
        <w:rPr>
          <w:rFonts w:ascii="Courier New" w:cs="Courier New" w:eastAsia="Courier New" w:hAnsi="Courier New"/>
          <w:sz w:val="14"/>
          <w:szCs w:val="14"/>
          <w:color w:val="auto"/>
        </w:rPr>
      </w:pPr>
    </w:p>
    <w:p>
      <w:pPr>
        <w:ind w:right="3479" w:firstLine="777"/>
        <w:spacing w:after="0" w:line="250" w:lineRule="auto"/>
        <w:tabs>
          <w:tab w:leader="none" w:pos="102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Subject to the conditions set forth herein, the Credit Agreement shall be and hereby is amended, effective as of the date hereof, as follows: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w:t>
      </w:r>
    </w:p>
    <w:p>
      <w:pPr>
        <w:spacing w:after="0" w:line="312" w:lineRule="exact"/>
        <w:rPr>
          <w:sz w:val="20"/>
          <w:szCs w:val="20"/>
          <w:color w:val="auto"/>
        </w:rPr>
      </w:pPr>
    </w:p>
    <w:p>
      <w:pPr>
        <w:jc w:val="both"/>
        <w:ind w:left="780" w:right="3819" w:firstLine="766"/>
        <w:spacing w:after="0" w:line="250" w:lineRule="auto"/>
        <w:tabs>
          <w:tab w:leader="none" w:pos="189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8.3 is hereby amended by deleting the figure "$10,000,000" appearing therein and inserting in lieu thereof the figure "$20,000,000".</w:t>
      </w:r>
    </w:p>
    <w:p>
      <w:pPr>
        <w:spacing w:after="0" w:line="161"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Clause (g) of SECTION 8.5 is hereby amended by (i) deleting the figure "$10,000,000" appearing therein and inserting in lieu thereof the figure "$20,000,000" and (ii) deleting the phrase "$10 million" appearing twice therein and inserting in lieu thereof the phrase "$20 million".</w:t>
      </w:r>
    </w:p>
    <w:p>
      <w:pPr>
        <w:spacing w:after="0" w:line="163" w:lineRule="exact"/>
        <w:rPr>
          <w:rFonts w:ascii="Courier New" w:cs="Courier New" w:eastAsia="Courier New" w:hAnsi="Courier New"/>
          <w:sz w:val="14"/>
          <w:szCs w:val="14"/>
          <w:color w:val="auto"/>
        </w:rPr>
      </w:pPr>
    </w:p>
    <w:p>
      <w:pPr>
        <w:ind w:left="780" w:right="3579" w:firstLine="766"/>
        <w:spacing w:after="0" w:line="250" w:lineRule="auto"/>
        <w:tabs>
          <w:tab w:leader="none" w:pos="189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Clause (f) of SECTION 8.7 is hereby further amended by deleting the figure "$20,000,000" appearing therein and inserting in lieu thereof the figure "$40,000,000".</w:t>
      </w:r>
    </w:p>
    <w:p>
      <w:pPr>
        <w:spacing w:after="0" w:line="161" w:lineRule="exact"/>
        <w:rPr>
          <w:rFonts w:ascii="Courier New" w:cs="Courier New" w:eastAsia="Courier New" w:hAnsi="Courier New"/>
          <w:sz w:val="14"/>
          <w:szCs w:val="14"/>
          <w:color w:val="auto"/>
        </w:rPr>
      </w:pPr>
    </w:p>
    <w:p>
      <w:pPr>
        <w:ind w:left="780" w:right="3399" w:firstLine="766"/>
        <w:spacing w:after="0" w:line="251" w:lineRule="auto"/>
        <w:tabs>
          <w:tab w:leader="none" w:pos="189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8.9 is hereby amended by (i) amending and restating clause (i) in its entirety so that it shall read as follows:</w:t>
      </w:r>
    </w:p>
    <w:p>
      <w:pPr>
        <w:spacing w:after="0" w:line="161" w:lineRule="exact"/>
        <w:rPr>
          <w:sz w:val="20"/>
          <w:szCs w:val="20"/>
          <w:color w:val="auto"/>
        </w:rPr>
      </w:pPr>
    </w:p>
    <w:p>
      <w:pPr>
        <w:ind w:left="1540" w:right="3319"/>
        <w:spacing w:after="0" w:line="249" w:lineRule="auto"/>
        <w:rPr>
          <w:sz w:val="20"/>
          <w:szCs w:val="20"/>
          <w:color w:val="auto"/>
        </w:rPr>
      </w:pPr>
      <w:r>
        <w:rPr>
          <w:rFonts w:ascii="Courier New" w:cs="Courier New" w:eastAsia="Courier New" w:hAnsi="Courier New"/>
          <w:sz w:val="14"/>
          <w:szCs w:val="14"/>
          <w:color w:val="auto"/>
        </w:rPr>
        <w:t>"(i) cash dividends and other cash distributions in respect of the capital stock of the Borrower and the redemption, repurchase or other acquisition of the capital stock of the Borrower in an aggregate amount not to exceed at any time the sum of $35,000,000 plus 50% of cumulative Consolidated Net Income for each fiscal quarter period for each Fiscal Year ending on and after December 31, 1999 (less 100% in the case of a deficit);"</w:t>
      </w:r>
    </w:p>
    <w:p>
      <w:pPr>
        <w:spacing w:after="0" w:line="163" w:lineRule="exact"/>
        <w:rPr>
          <w:sz w:val="20"/>
          <w:szCs w:val="20"/>
          <w:color w:val="auto"/>
        </w:rPr>
      </w:pPr>
    </w:p>
    <w:p>
      <w:pPr>
        <w:ind w:left="780" w:right="3319" w:hanging="3"/>
        <w:spacing w:after="0" w:line="251" w:lineRule="auto"/>
        <w:tabs>
          <w:tab w:leader="none" w:pos="120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deleting clause (iv) in its entirety and (iii) renumbering clauses (v), (vi) and (vii) as clauses (iv), (v) and (vi), respectively.</w:t>
      </w:r>
    </w:p>
    <w:p>
      <w:pPr>
        <w:spacing w:after="0" w:line="161" w:lineRule="exact"/>
        <w:rPr>
          <w:sz w:val="20"/>
          <w:szCs w:val="20"/>
          <w:color w:val="auto"/>
        </w:rPr>
      </w:pPr>
    </w:p>
    <w:p>
      <w:pPr>
        <w:ind w:right="3479" w:firstLine="777"/>
        <w:spacing w:after="0" w:line="250" w:lineRule="auto"/>
        <w:tabs>
          <w:tab w:leader="none" w:pos="102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GUARANTORS. Each of the Guarantors has joined in the execution of this Agreement for the purpose of consenting to the amendment contained herein and reaffirming its guaranty of the Obligations.</w:t>
      </w:r>
    </w:p>
    <w:p>
      <w:pPr>
        <w:spacing w:after="0" w:line="161" w:lineRule="exact"/>
        <w:rPr>
          <w:rFonts w:ascii="Courier New" w:cs="Courier New" w:eastAsia="Courier New" w:hAnsi="Courier New"/>
          <w:sz w:val="14"/>
          <w:szCs w:val="14"/>
          <w:color w:val="auto"/>
        </w:rPr>
      </w:pPr>
    </w:p>
    <w:p>
      <w:pPr>
        <w:ind w:right="3819" w:firstLine="777"/>
        <w:spacing w:after="0" w:line="251" w:lineRule="auto"/>
        <w:tabs>
          <w:tab w:leader="none" w:pos="102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BORROWER'S REPRESENTATIONS AND WARRANTIES. The Borrower hereby represents, warrants and certifies that:</w:t>
      </w:r>
    </w:p>
    <w:p>
      <w:pPr>
        <w:spacing w:after="0" w:line="161"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made by it in ARTICLE VI of the Credit Agreement are true on and as of the date hereof before and after giving effect to this Agreement except that the financial statements referred to in SECTION 6.6(A) shall be those most recently furnished to each Lender pursuant to SECTION 7.1(A) and (B) of the Credit Agreement and except that SCHEDULE 6.10 is replaced with SCHEDULE 6.10 attached hereto;</w:t>
      </w:r>
    </w:p>
    <w:p>
      <w:pPr>
        <w:spacing w:after="0" w:line="162" w:lineRule="exact"/>
        <w:rPr>
          <w:rFonts w:ascii="Courier New" w:cs="Courier New" w:eastAsia="Courier New" w:hAnsi="Courier New"/>
          <w:sz w:val="14"/>
          <w:szCs w:val="14"/>
          <w:color w:val="auto"/>
        </w:rPr>
      </w:pPr>
    </w:p>
    <w:p>
      <w:pPr>
        <w:ind w:left="780" w:right="3319" w:firstLine="766"/>
        <w:spacing w:after="0" w:line="250" w:lineRule="auto"/>
        <w:tabs>
          <w:tab w:leader="none" w:pos="189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the power and authority to execute and perform this Agreement and has taken all action required for the lawful execution, delivery and performance thereof.</w:t>
      </w:r>
    </w:p>
    <w:p>
      <w:pPr>
        <w:spacing w:after="0" w:line="161"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material adverse change in the condition, financial or otherwise, of the Borrower and its Subsidiaries since the date of the most recent financial reports of the Borrower received by each Lender under SECTION 7.1.</w:t>
      </w:r>
    </w:p>
    <w:p>
      <w:pPr>
        <w:sectPr>
          <w:pgSz w:w="11900" w:h="16918" w:orient="portrait"/>
          <w:cols w:equalWidth="0" w:num="1">
            <w:col w:w="10159"/>
          </w:cols>
          <w:pgMar w:left="300" w:top="141" w:right="1440" w:bottom="0" w:gutter="0" w:footer="0" w:header="0"/>
        </w:sectPr>
      </w:pPr>
    </w:p>
    <w:bookmarkStart w:id="56" w:name="page57"/>
    <w:bookmarkEnd w:id="56"/>
    <w:p>
      <w:pPr>
        <w:ind w:left="22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019"/>
          </w:cols>
          <w:pgMar w:left="1440" w:top="306" w:right="1440" w:bottom="1440" w:gutter="0" w:footer="0" w:header="0"/>
        </w:sectPr>
      </w:pPr>
    </w:p>
    <w:bookmarkStart w:id="57" w:name="page58"/>
    <w:bookmarkEnd w:id="57"/>
    <w:p>
      <w:pPr>
        <w:ind w:left="3" w:right="3479"/>
        <w:spacing w:after="0" w:line="251" w:lineRule="auto"/>
        <w:rPr>
          <w:sz w:val="20"/>
          <w:szCs w:val="20"/>
          <w:color w:val="auto"/>
        </w:rPr>
      </w:pPr>
      <w:r>
        <w:rPr>
          <w:rFonts w:ascii="Courier New" w:cs="Courier New" w:eastAsia="Courier New" w:hAnsi="Courier New"/>
          <w:sz w:val="14"/>
          <w:szCs w:val="14"/>
          <w:color w:val="auto"/>
        </w:rPr>
        <w:t>of the Credit Agreement, other than changes in the ordinary course of business, none of which has been a material adverse change;</w:t>
      </w:r>
    </w:p>
    <w:p>
      <w:pPr>
        <w:spacing w:after="0" w:line="161" w:lineRule="exact"/>
        <w:rPr>
          <w:sz w:val="20"/>
          <w:szCs w:val="20"/>
          <w:color w:val="auto"/>
        </w:rPr>
      </w:pPr>
    </w:p>
    <w:p>
      <w:pPr>
        <w:ind w:left="3" w:right="3319" w:firstLine="766"/>
        <w:spacing w:after="0" w:line="249" w:lineRule="auto"/>
        <w:tabs>
          <w:tab w:leader="none" w:pos="1114"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and properties of the Borrower and its Subsidiaries are not, and since the date of the most recent financial report of the Borrower and its Subsidiaries received by the Agent under SECTION 7.1 of the Credit Agreement have not been, adversely affected in any substantial way as the result of any fire, explosion, earthquake, accident, strike, lockout, combination of workers, flood, embargo, riot, activities of armed forces, war or acts of God or the public enemy, or cancellation or loss of any major contracts; and</w:t>
      </w:r>
    </w:p>
    <w:p>
      <w:pPr>
        <w:spacing w:after="0" w:line="162" w:lineRule="exact"/>
        <w:rPr>
          <w:rFonts w:ascii="Courier New" w:cs="Courier New" w:eastAsia="Courier New" w:hAnsi="Courier New"/>
          <w:sz w:val="14"/>
          <w:szCs w:val="14"/>
          <w:color w:val="auto"/>
        </w:rPr>
      </w:pPr>
    </w:p>
    <w:p>
      <w:pPr>
        <w:ind w:left="3" w:right="3399" w:firstLine="766"/>
        <w:spacing w:after="0" w:line="249" w:lineRule="auto"/>
        <w:tabs>
          <w:tab w:leader="none" w:pos="1114"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no condition exists which, upon the consummation of the transaction contemplated hereby, constituted a Default or an Event of Default on the part of the Borrower under the Credit Agreement or the Notes either immediately or with the lapse of time or the giving of notice, or both.</w:t>
      </w:r>
    </w:p>
    <w:p>
      <w:pPr>
        <w:spacing w:after="0" w:line="163" w:lineRule="exact"/>
        <w:rPr>
          <w:rFonts w:ascii="Courier New" w:cs="Courier New" w:eastAsia="Courier New" w:hAnsi="Courier New"/>
          <w:sz w:val="14"/>
          <w:szCs w:val="14"/>
          <w:color w:val="auto"/>
        </w:rPr>
      </w:pPr>
    </w:p>
    <w:p>
      <w:pPr>
        <w:ind w:left="-777" w:right="3479" w:firstLine="777"/>
        <w:spacing w:after="0" w:line="249" w:lineRule="auto"/>
        <w:tabs>
          <w:tab w:leader="none" w:pos="24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EFFECTIVENESS. This Amendment Agreement shall become effective upon receipt by the Agent of twelve (12) counterparts of this Amendment Agreement executed by Borrower, the Guarantors, the Agent and the Required Lenders.</w:t>
      </w:r>
    </w:p>
    <w:p>
      <w:pPr>
        <w:spacing w:after="0" w:line="163" w:lineRule="exact"/>
        <w:rPr>
          <w:rFonts w:ascii="Courier New" w:cs="Courier New" w:eastAsia="Courier New" w:hAnsi="Courier New"/>
          <w:sz w:val="14"/>
          <w:szCs w:val="14"/>
          <w:color w:val="auto"/>
        </w:rPr>
      </w:pPr>
    </w:p>
    <w:p>
      <w:pPr>
        <w:ind w:left="-777" w:right="3319" w:firstLine="777"/>
        <w:spacing w:after="0" w:line="249" w:lineRule="auto"/>
        <w:tabs>
          <w:tab w:leader="none" w:pos="24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sets forth the entire understanding and agreement of the parties hereto in relation to the subject matter hereof and supersedes any prior negotiations and agreements among the parties relative to such subject matter. None of the terms or conditions of this Agreement may be changed, modified, waived or canceled orally or otherwise, except by writing, signed by all the parties hereto, specifying such change, modification, waiver or cancellation of such terms or conditions, or of any proceeding or succeeding breach thereof.</w:t>
      </w:r>
    </w:p>
    <w:p>
      <w:pPr>
        <w:spacing w:after="0" w:line="162" w:lineRule="exact"/>
        <w:rPr>
          <w:rFonts w:ascii="Courier New" w:cs="Courier New" w:eastAsia="Courier New" w:hAnsi="Courier New"/>
          <w:sz w:val="14"/>
          <w:szCs w:val="14"/>
          <w:color w:val="auto"/>
        </w:rPr>
      </w:pPr>
    </w:p>
    <w:p>
      <w:pPr>
        <w:ind w:left="-777" w:right="3579" w:firstLine="777"/>
        <w:spacing w:after="0" w:line="249" w:lineRule="auto"/>
        <w:tabs>
          <w:tab w:leader="none" w:pos="24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FORCE AND EFFECT OF AGREEMENT. Except as hereby specifically amended, modified or supplemented, the Credit Agreement and all of the other Loan Documents are hereby confirmed and ratified in all respects and shall remain in full force and effect according to their respective terms.</w:t>
      </w:r>
    </w:p>
    <w:p>
      <w:pPr>
        <w:spacing w:after="0" w:line="163" w:lineRule="exact"/>
        <w:rPr>
          <w:rFonts w:ascii="Courier New" w:cs="Courier New" w:eastAsia="Courier New" w:hAnsi="Courier New"/>
          <w:sz w:val="14"/>
          <w:szCs w:val="14"/>
          <w:color w:val="auto"/>
        </w:rPr>
      </w:pPr>
    </w:p>
    <w:p>
      <w:pPr>
        <w:ind w:left="-777" w:right="3919" w:firstLine="777"/>
        <w:spacing w:after="0" w:line="250" w:lineRule="auto"/>
        <w:tabs>
          <w:tab w:leader="none" w:pos="24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and all the counterparts taken together shall be deemed to constitute one and the same instrument.</w:t>
      </w:r>
    </w:p>
    <w:p>
      <w:pPr>
        <w:spacing w:after="0" w:line="326" w:lineRule="exact"/>
        <w:rPr>
          <w:sz w:val="20"/>
          <w:szCs w:val="20"/>
          <w:color w:val="auto"/>
        </w:rPr>
      </w:pPr>
    </w:p>
    <w:p>
      <w:pPr>
        <w:ind w:left="763"/>
        <w:spacing w:after="0"/>
        <w:rPr>
          <w:sz w:val="20"/>
          <w:szCs w:val="20"/>
          <w:color w:val="auto"/>
        </w:rPr>
      </w:pPr>
      <w:r>
        <w:rPr>
          <w:rFonts w:ascii="Courier New" w:cs="Courier New" w:eastAsia="Courier New" w:hAnsi="Courier New"/>
          <w:sz w:val="14"/>
          <w:szCs w:val="14"/>
          <w:color w:val="auto"/>
        </w:rPr>
        <w:t>[Remainder of page intentionally left blank.]</w:t>
      </w:r>
    </w:p>
    <w:p>
      <w:pPr>
        <w:spacing w:after="0" w:line="334" w:lineRule="exact"/>
        <w:rPr>
          <w:sz w:val="20"/>
          <w:szCs w:val="20"/>
          <w:color w:val="auto"/>
        </w:rPr>
      </w:pPr>
    </w:p>
    <w:p>
      <w:pPr>
        <w:ind w:left="2563"/>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383"/>
          </w:cols>
          <w:pgMar w:left="1077" w:top="612" w:right="1440" w:bottom="1440" w:gutter="0" w:footer="0" w:header="0"/>
        </w:sectPr>
      </w:pPr>
    </w:p>
    <w:bookmarkStart w:id="58" w:name="page59"/>
    <w:bookmarkEnd w:id="58"/>
    <w:p>
      <w:pPr>
        <w:ind w:right="3319" w:firstLine="769"/>
        <w:spacing w:after="0" w:line="250"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by their duly authorized officers, all as of the day and year first above written.</w:t>
      </w:r>
    </w:p>
    <w:p>
      <w:pPr>
        <w:spacing w:after="0" w:line="162"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BORROWER:</w:t>
      </w:r>
    </w:p>
    <w:p>
      <w:pPr>
        <w:spacing w:after="0" w:line="170"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WATSCO,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159"/>
          </w:cols>
          <w:pgMar w:left="300" w:top="612" w:right="1440" w:bottom="1440" w:gutter="0" w:footer="0" w:header="0"/>
        </w:sectPr>
      </w:pP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GIGLIOLA M. FLOREZ</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ANA M. MENENDEZ</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BARRY S. LOGAN</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Barry S. Logan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Vice President of Finance</w:t>
      </w:r>
    </w:p>
    <w:p>
      <w:pPr>
        <w:spacing w:after="0" w:line="364" w:lineRule="exact"/>
        <w:rPr>
          <w:sz w:val="20"/>
          <w:szCs w:val="20"/>
          <w:color w:val="auto"/>
        </w:rPr>
      </w:pPr>
    </w:p>
    <w:p>
      <w:pPr>
        <w:sectPr>
          <w:pgSz w:w="11900" w:h="16838" w:orient="portrait"/>
          <w:cols w:equalWidth="0" w:num="2">
            <w:col w:w="3040" w:space="720"/>
            <w:col w:w="6399"/>
          </w:cols>
          <w:pgMar w:left="300" w:top="612" w:right="1440" w:bottom="1440" w:gutter="0" w:footer="0" w:header="0"/>
          <w:type w:val="continuous"/>
        </w:sectPr>
      </w:pPr>
    </w:p>
    <w:p>
      <w:pPr>
        <w:spacing w:after="0" w:line="134" w:lineRule="exact"/>
        <w:rPr>
          <w:sz w:val="20"/>
          <w:szCs w:val="20"/>
          <w:color w:val="auto"/>
        </w:rPr>
      </w:pPr>
    </w:p>
    <w:p>
      <w:pPr>
        <w:ind w:left="33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159"/>
          </w:cols>
          <w:pgMar w:left="300" w:top="612" w:right="1440" w:bottom="1440" w:gutter="0" w:footer="0" w:header="0"/>
          <w:type w:val="continuous"/>
        </w:sectPr>
      </w:pPr>
    </w:p>
    <w:bookmarkStart w:id="59" w:name="page60"/>
    <w:bookmarkEnd w:id="59"/>
    <w:p>
      <w:pPr>
        <w:ind w:left="3760"/>
        <w:spacing w:after="0"/>
        <w:rPr>
          <w:sz w:val="20"/>
          <w:szCs w:val="20"/>
          <w:color w:val="auto"/>
        </w:rPr>
      </w:pPr>
      <w:r>
        <w:rPr>
          <w:rFonts w:ascii="Courier New" w:cs="Courier New" w:eastAsia="Courier New" w:hAnsi="Courier New"/>
          <w:sz w:val="14"/>
          <w:szCs w:val="14"/>
          <w:color w:val="auto"/>
        </w:rPr>
        <w:t>GUARANTORS:</w:t>
      </w:r>
    </w:p>
    <w:p>
      <w:pPr>
        <w:sectPr>
          <w:pgSz w:w="11900" w:h="16838" w:orient="portrait"/>
          <w:cols w:equalWidth="0" w:num="1">
            <w:col w:w="10159"/>
          </w:cols>
          <w:pgMar w:left="300" w:top="6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ANA M. MENENDEZ</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GIGLIOLA M. FLOREZ</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WATSCO INVESTMENTS 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WATSCO INVESTMENTS II,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CDS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COASTLINE DISTRIBUTION,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A&amp;C DISTRIBUTORS,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GEMAIRE DISTRIBUTORS,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H.B. ADAMS DISTRIBUTORS,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GEM CREDIT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FLORIDA AD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GEMAIRE INTERNATIONAL,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GEMAIRE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GEMAIRE CARIBE,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COMFORT SUPPLY,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WATSCO EXPORT,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HOUSTON AD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HEATING &amp; COOLING SUPPLY,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STATES SUPPLY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CP DISTRIBUTORS,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COMFORT PRODUCTS DISTRIBUTING,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PLAINS DISTRIBUTING,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AIR CONDITIONING</w:t>
      </w:r>
    </w:p>
    <w:p>
      <w:pPr>
        <w:spacing w:after="0" w:line="6" w:lineRule="exact"/>
        <w:rPr>
          <w:sz w:val="20"/>
          <w:szCs w:val="20"/>
          <w:color w:val="auto"/>
        </w:rPr>
      </w:pPr>
    </w:p>
    <w:p>
      <w:pPr>
        <w:ind w:left="100"/>
        <w:spacing w:after="0"/>
        <w:tabs>
          <w:tab w:leader="none" w:pos="1360" w:val="left"/>
        </w:tabs>
        <w:rPr>
          <w:sz w:val="20"/>
          <w:szCs w:val="20"/>
          <w:color w:val="auto"/>
        </w:rPr>
      </w:pPr>
      <w:r>
        <w:rPr>
          <w:rFonts w:ascii="Courier New" w:cs="Courier New" w:eastAsia="Courier New" w:hAnsi="Courier New"/>
          <w:sz w:val="14"/>
          <w:szCs w:val="14"/>
          <w:color w:val="auto"/>
        </w:rPr>
        <w:t>DISTRIBUTORS,</w:t>
        <w:tab/>
        <w:t>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WEATHERTROL SUPPLY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AIR SYSTEMS DISTRIBUTORS,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STAFFING SYSTEMS,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TEMPORARY SYSTEMS OF</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INDIANAPOLIS,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TEMPORARY SYSTEM OF</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INDIANAPOLIS, 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TEMPORARY SYSTEMS,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PERSONNEL SYSTEM OF</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NEW JERSEY,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STAFFING SYSTEMS OF</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MILWAUKEE,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ENTERPRISES, INC.</w:t>
      </w:r>
    </w:p>
    <w:p>
      <w:pPr>
        <w:spacing w:after="0" w:line="334" w:lineRule="exact"/>
        <w:rPr>
          <w:sz w:val="20"/>
          <w:szCs w:val="20"/>
          <w:color w:val="auto"/>
        </w:rPr>
      </w:pPr>
    </w:p>
    <w:p>
      <w:pPr>
        <w:sectPr>
          <w:pgSz w:w="11900" w:h="16838" w:orient="portrait"/>
          <w:cols w:equalWidth="0" w:num="2">
            <w:col w:w="3040" w:space="720"/>
            <w:col w:w="6399"/>
          </w:cols>
          <w:pgMar w:left="300" w:top="612" w:right="1440" w:bottom="1440" w:gutter="0" w:footer="0" w:header="0"/>
          <w:type w:val="continuous"/>
        </w:sectPr>
      </w:pPr>
    </w:p>
    <w:p>
      <w:pPr>
        <w:ind w:left="3760"/>
        <w:spacing w:after="0"/>
        <w:tabs>
          <w:tab w:leader="none" w:pos="4180" w:val="left"/>
        </w:tabs>
        <w:rPr>
          <w:sz w:val="20"/>
          <w:szCs w:val="20"/>
          <w:color w:val="auto"/>
        </w:rPr>
      </w:pPr>
      <w:r>
        <w:rPr>
          <w:rFonts w:ascii="Courier New" w:cs="Courier New" w:eastAsia="Courier New" w:hAnsi="Courier New"/>
          <w:sz w:val="14"/>
          <w:szCs w:val="14"/>
          <w:color w:val="auto"/>
        </w:rPr>
        <w:t>By:</w:t>
        <w:tab/>
        <w:t>/S/ BARRY S. LOGAN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Name: Barry S. Logan</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Title: Vice President of Finance</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12" w:right="1440" w:bottom="1440" w:gutter="0" w:footer="0" w:header="0"/>
          <w:type w:val="continuous"/>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BAKER DISTRIBUTING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SERVICES 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AIR SUPPLY,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WSO DISTRIBUTORS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WSO HOLDINGS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DUNHILL HOLDINGS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BELKNAP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 EQUIPMENT &amp; PARTS,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SUPERIOR SUPPLY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SUPERIOR SUPPLY COMPANY OF</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OKLAHOMA,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KAUFMAN SUPPLY,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YRK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HOMANS ASSOCIATES,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HEAT 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COMFORT-AIRE DISTRIBUTORS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NSI SUPPLY,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WURZBACH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 WHOLESALERS,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AMBIENT,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COOLNET, INC.</w:t>
      </w:r>
    </w:p>
    <w:p>
      <w:pPr>
        <w:spacing w:after="0" w:line="170" w:lineRule="exact"/>
        <w:rPr>
          <w:sz w:val="20"/>
          <w:szCs w:val="20"/>
          <w:color w:val="auto"/>
        </w:rPr>
      </w:pPr>
    </w:p>
    <w:p>
      <w:pPr>
        <w:sectPr>
          <w:pgSz w:w="11900" w:h="16838" w:orient="portrait"/>
          <w:cols w:equalWidth="0" w:num="2">
            <w:col w:w="3040" w:space="720"/>
            <w:col w:w="6399"/>
          </w:cols>
          <w:pgMar w:left="300" w:top="612" w:right="1440" w:bottom="1440" w:gutter="0" w:footer="0" w:header="0"/>
        </w:sectPr>
      </w:pPr>
    </w:p>
    <w:p>
      <w:pPr>
        <w:ind w:left="100"/>
        <w:spacing w:after="0"/>
        <w:rPr>
          <w:sz w:val="20"/>
          <w:szCs w:val="20"/>
          <w:color w:val="auto"/>
        </w:rPr>
      </w:pPr>
      <w:r>
        <w:rPr>
          <w:rFonts w:ascii="Courier New" w:cs="Courier New" w:eastAsia="Courier New" w:hAnsi="Courier New"/>
          <w:sz w:val="14"/>
          <w:szCs w:val="14"/>
          <w:color w:val="auto"/>
        </w:rPr>
        <w:t>/S/ GIGLIOLA M. FLOREZ</w:t>
      </w:r>
    </w:p>
    <w:p>
      <w:pPr>
        <w:spacing w:after="0" w:line="6"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 ANA M. MENENDEZ</w:t>
      </w:r>
    </w:p>
    <w:p>
      <w:pPr>
        <w:spacing w:after="0" w:line="5"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 /S/ BARRY S. LOGAN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Name: Barry S. Logan</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Title: Vice President of Finance</w:t>
      </w:r>
    </w:p>
    <w:p>
      <w:pPr>
        <w:spacing w:after="0" w:line="6"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12" w:right="1440" w:bottom="1440" w:gutter="0" w:footer="0" w:header="0"/>
          <w:type w:val="continuous"/>
        </w:sectPr>
      </w:pPr>
    </w:p>
    <w:bookmarkStart w:id="61" w:name="page62"/>
    <w:bookmarkEnd w:id="61"/>
    <w:p>
      <w:pPr>
        <w:ind w:left="2620"/>
        <w:spacing w:after="0"/>
        <w:rPr>
          <w:sz w:val="20"/>
          <w:szCs w:val="20"/>
          <w:color w:val="auto"/>
        </w:rPr>
      </w:pPr>
      <w:r>
        <w:rPr>
          <w:rFonts w:ascii="Courier New" w:cs="Courier New" w:eastAsia="Courier New" w:hAnsi="Courier New"/>
          <w:sz w:val="14"/>
          <w:szCs w:val="14"/>
          <w:color w:val="auto"/>
        </w:rPr>
        <w:t>AGENT:</w:t>
      </w:r>
    </w:p>
    <w:p>
      <w:pPr>
        <w:spacing w:after="0" w:line="17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BANK OF AMERCA, N.A., as Agent for</w:t>
      </w:r>
    </w:p>
    <w:p>
      <w:pPr>
        <w:spacing w:after="0" w:line="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the Lenders</w:t>
      </w:r>
    </w:p>
    <w:p>
      <w:pPr>
        <w:spacing w:after="0" w:line="334" w:lineRule="exact"/>
        <w:rPr>
          <w:sz w:val="20"/>
          <w:szCs w:val="20"/>
          <w:color w:val="auto"/>
        </w:rPr>
      </w:pPr>
    </w:p>
    <w:p>
      <w:pPr>
        <w:ind w:left="2620"/>
        <w:spacing w:after="0"/>
        <w:tabs>
          <w:tab w:leader="none" w:pos="3380" w:val="left"/>
        </w:tabs>
        <w:rPr>
          <w:sz w:val="20"/>
          <w:szCs w:val="20"/>
          <w:color w:val="auto"/>
        </w:rPr>
      </w:pPr>
      <w:r>
        <w:rPr>
          <w:rFonts w:ascii="Courier New" w:cs="Courier New" w:eastAsia="Courier New" w:hAnsi="Courier New"/>
          <w:sz w:val="14"/>
          <w:szCs w:val="14"/>
          <w:color w:val="auto"/>
        </w:rPr>
        <w:t>By: /S/</w:t>
        <w:tab/>
        <w:t>RICHARD M. STARKE</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Richard M. Starke</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Managing Director</w:t>
      </w:r>
    </w:p>
    <w:p>
      <w:pPr>
        <w:spacing w:after="0" w:line="17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LENDERS:</w:t>
      </w:r>
    </w:p>
    <w:p>
      <w:pPr>
        <w:spacing w:after="0" w:line="17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BANK OF AMERICA, N.A.</w:t>
      </w:r>
    </w:p>
    <w:p>
      <w:pPr>
        <w:spacing w:after="0" w:line="33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 /S/ RICHARD M. STARKE</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Richard M. Starke</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Managing Director</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019"/>
          </w:cols>
          <w:pgMar w:left="1440" w:top="612" w:right="1440" w:bottom="1440" w:gutter="0" w:footer="0" w:header="0"/>
        </w:sectPr>
      </w:pPr>
    </w:p>
    <w:bookmarkStart w:id="62" w:name="page63"/>
    <w:bookmarkEnd w:id="62"/>
    <w:p>
      <w:pPr>
        <w:ind w:left="2620"/>
        <w:spacing w:after="0"/>
        <w:rPr>
          <w:sz w:val="20"/>
          <w:szCs w:val="20"/>
          <w:color w:val="auto"/>
        </w:rPr>
      </w:pPr>
      <w:r>
        <w:rPr>
          <w:rFonts w:ascii="Courier New" w:cs="Courier New" w:eastAsia="Courier New" w:hAnsi="Courier New"/>
          <w:sz w:val="14"/>
          <w:szCs w:val="14"/>
          <w:color w:val="auto"/>
        </w:rPr>
        <w:t>FIRST UNION NATIONAL BANK</w:t>
      </w:r>
    </w:p>
    <w:p>
      <w:pPr>
        <w:spacing w:after="0" w:line="33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 /S/ MARY A. MORGAN</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Mary A. Morgan</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Senior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612" w:right="1440" w:bottom="1440" w:gutter="0" w:footer="0" w:header="0"/>
        </w:sectPr>
      </w:pPr>
    </w:p>
    <w:bookmarkStart w:id="63" w:name="page64"/>
    <w:bookmarkEnd w:id="63"/>
    <w:p>
      <w:pPr>
        <w:ind w:left="2620"/>
        <w:spacing w:after="0"/>
        <w:rPr>
          <w:sz w:val="20"/>
          <w:szCs w:val="20"/>
          <w:color w:val="auto"/>
        </w:rPr>
      </w:pPr>
      <w:r>
        <w:rPr>
          <w:rFonts w:ascii="Courier New" w:cs="Courier New" w:eastAsia="Courier New" w:hAnsi="Courier New"/>
          <w:sz w:val="14"/>
          <w:szCs w:val="14"/>
          <w:color w:val="auto"/>
        </w:rPr>
        <w:t>SUNTRUST BANK, MIAMI, N.A.</w:t>
      </w:r>
    </w:p>
    <w:p>
      <w:pPr>
        <w:spacing w:after="0" w:line="334"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DAVID EDGE</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David Edge</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019"/>
          </w:cols>
          <w:pgMar w:left="1440" w:top="612" w:right="1440" w:bottom="1440" w:gutter="0" w:footer="0" w:header="0"/>
        </w:sectPr>
      </w:pPr>
    </w:p>
    <w:bookmarkStart w:id="64" w:name="page65"/>
    <w:bookmarkEnd w:id="64"/>
    <w:p>
      <w:pPr>
        <w:ind w:left="2620"/>
        <w:spacing w:after="0"/>
        <w:rPr>
          <w:sz w:val="20"/>
          <w:szCs w:val="20"/>
          <w:color w:val="auto"/>
        </w:rPr>
      </w:pPr>
      <w:r>
        <w:rPr>
          <w:rFonts w:ascii="Courier New" w:cs="Courier New" w:eastAsia="Courier New" w:hAnsi="Courier New"/>
          <w:sz w:val="14"/>
          <w:szCs w:val="14"/>
          <w:color w:val="auto"/>
        </w:rPr>
        <w:t>THE BANK OF NEW YORK</w:t>
      </w:r>
    </w:p>
    <w:p>
      <w:pPr>
        <w:spacing w:after="0" w:line="33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David C. Siegel</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612" w:right="1440" w:bottom="1440" w:gutter="0" w:footer="0" w:header="0"/>
        </w:sectPr>
      </w:pPr>
    </w:p>
    <w:bookmarkStart w:id="65" w:name="page66"/>
    <w:bookmarkEnd w:id="65"/>
    <w:p>
      <w:pPr>
        <w:ind w:left="2620"/>
        <w:spacing w:after="0"/>
        <w:rPr>
          <w:sz w:val="20"/>
          <w:szCs w:val="20"/>
          <w:color w:val="auto"/>
        </w:rPr>
      </w:pPr>
      <w:r>
        <w:rPr>
          <w:rFonts w:ascii="Courier New" w:cs="Courier New" w:eastAsia="Courier New" w:hAnsi="Courier New"/>
          <w:sz w:val="14"/>
          <w:szCs w:val="14"/>
          <w:color w:val="auto"/>
        </w:rPr>
        <w:t>THE BANK OF TOKYO-MITSUBISHI, LTD.</w:t>
      </w:r>
    </w:p>
    <w:p>
      <w:pPr>
        <w:spacing w:after="0" w:line="334"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THOMAS FENNESSEY</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Thomas Fennessey</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612" w:right="1440" w:bottom="1440" w:gutter="0" w:footer="0" w:header="0"/>
        </w:sectPr>
      </w:pPr>
    </w:p>
    <w:bookmarkStart w:id="66" w:name="page67"/>
    <w:bookmarkEnd w:id="66"/>
    <w:p>
      <w:pPr>
        <w:ind w:left="2620"/>
        <w:spacing w:after="0"/>
        <w:rPr>
          <w:sz w:val="20"/>
          <w:szCs w:val="20"/>
          <w:color w:val="auto"/>
        </w:rPr>
      </w:pPr>
      <w:r>
        <w:rPr>
          <w:rFonts w:ascii="Courier New" w:cs="Courier New" w:eastAsia="Courier New" w:hAnsi="Courier New"/>
          <w:sz w:val="14"/>
          <w:szCs w:val="14"/>
          <w:color w:val="auto"/>
        </w:rPr>
        <w:t>COMERICA BANK</w:t>
      </w:r>
    </w:p>
    <w:p>
      <w:pPr>
        <w:spacing w:after="0" w:line="334"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MARTIN G. ELLIS</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Martin G. Ellis</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019"/>
          </w:cols>
          <w:pgMar w:left="1440" w:top="612" w:right="1440" w:bottom="1440" w:gutter="0" w:footer="0" w:header="0"/>
        </w:sectPr>
      </w:pPr>
    </w:p>
    <w:bookmarkStart w:id="67" w:name="page68"/>
    <w:bookmarkEnd w:id="67"/>
    <w:p>
      <w:pPr>
        <w:ind w:left="2620"/>
        <w:spacing w:after="0"/>
        <w:rPr>
          <w:sz w:val="20"/>
          <w:szCs w:val="20"/>
          <w:color w:val="auto"/>
        </w:rPr>
      </w:pPr>
      <w:r>
        <w:rPr>
          <w:rFonts w:ascii="Courier New" w:cs="Courier New" w:eastAsia="Courier New" w:hAnsi="Courier New"/>
          <w:sz w:val="14"/>
          <w:szCs w:val="14"/>
          <w:color w:val="auto"/>
        </w:rPr>
        <w:t>WACHOVIA BANK, N.A.</w:t>
      </w:r>
    </w:p>
    <w:p>
      <w:pPr>
        <w:spacing w:after="0" w:line="334"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PATRICK A. PHELAN</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Patrick A. Phelan</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019"/>
          </w:cols>
          <w:pgMar w:left="1440" w:top="612" w:right="1440" w:bottom="1440" w:gutter="0" w:footer="0" w:header="0"/>
        </w:sectPr>
      </w:pPr>
    </w:p>
    <w:bookmarkStart w:id="68" w:name="page69"/>
    <w:bookmarkEnd w:id="68"/>
    <w:p>
      <w:pPr>
        <w:ind w:left="2620"/>
        <w:spacing w:after="0"/>
        <w:rPr>
          <w:sz w:val="20"/>
          <w:szCs w:val="20"/>
          <w:color w:val="auto"/>
        </w:rPr>
      </w:pPr>
      <w:r>
        <w:rPr>
          <w:rFonts w:ascii="Courier New" w:cs="Courier New" w:eastAsia="Courier New" w:hAnsi="Courier New"/>
          <w:sz w:val="14"/>
          <w:szCs w:val="14"/>
          <w:color w:val="auto"/>
        </w:rPr>
        <w:t>DRESDNER BANK LATEINAMERIKA AG</w:t>
      </w:r>
    </w:p>
    <w:p>
      <w:pPr>
        <w:spacing w:after="0" w:line="334" w:lineRule="exact"/>
        <w:rPr>
          <w:sz w:val="20"/>
          <w:szCs w:val="20"/>
          <w:color w:val="auto"/>
        </w:rPr>
      </w:pPr>
    </w:p>
    <w:p>
      <w:pPr>
        <w:ind w:left="1440"/>
        <w:spacing w:after="0"/>
        <w:tabs>
          <w:tab w:leader="none" w:pos="3800" w:val="left"/>
        </w:tabs>
        <w:rPr>
          <w:sz w:val="20"/>
          <w:szCs w:val="20"/>
          <w:color w:val="auto"/>
        </w:rPr>
      </w:pPr>
      <w:r>
        <w:rPr>
          <w:rFonts w:ascii="Courier New" w:cs="Courier New" w:eastAsia="Courier New" w:hAnsi="Courier New"/>
          <w:sz w:val="14"/>
          <w:szCs w:val="14"/>
          <w:color w:val="auto"/>
        </w:rPr>
        <w:t>By: /S/ FRANK HUTHNANCE</w:t>
      </w:r>
      <w:r>
        <w:rPr>
          <w:sz w:val="20"/>
          <w:szCs w:val="20"/>
          <w:color w:val="auto"/>
        </w:rPr>
        <w:tab/>
      </w:r>
      <w:r>
        <w:rPr>
          <w:rFonts w:ascii="Courier New" w:cs="Courier New" w:eastAsia="Courier New" w:hAnsi="Courier New"/>
          <w:sz w:val="14"/>
          <w:szCs w:val="14"/>
          <w:color w:val="auto"/>
        </w:rPr>
        <w:t>/S/ JOSEFINA HERNANDEZ</w:t>
      </w:r>
    </w:p>
    <w:p>
      <w:pPr>
        <w:spacing w:after="0" w:line="6"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440"/>
        <w:spacing w:after="0"/>
        <w:tabs>
          <w:tab w:leader="none" w:pos="3880" w:val="left"/>
        </w:tabs>
        <w:rPr>
          <w:sz w:val="20"/>
          <w:szCs w:val="20"/>
          <w:color w:val="auto"/>
        </w:rPr>
      </w:pPr>
      <w:r>
        <w:rPr>
          <w:rFonts w:ascii="Courier New" w:cs="Courier New" w:eastAsia="Courier New" w:hAnsi="Courier New"/>
          <w:sz w:val="14"/>
          <w:szCs w:val="14"/>
          <w:color w:val="auto"/>
        </w:rPr>
        <w:t>Name: Frank Huthnance</w:t>
      </w:r>
      <w:r>
        <w:rPr>
          <w:sz w:val="20"/>
          <w:szCs w:val="20"/>
          <w:color w:val="auto"/>
        </w:rPr>
        <w:tab/>
      </w:r>
      <w:r>
        <w:rPr>
          <w:rFonts w:ascii="Courier New" w:cs="Courier New" w:eastAsia="Courier New" w:hAnsi="Courier New"/>
          <w:sz w:val="14"/>
          <w:szCs w:val="14"/>
          <w:color w:val="auto"/>
        </w:rPr>
        <w:t>Josefina Hernandez</w:t>
      </w:r>
    </w:p>
    <w:p>
      <w:pPr>
        <w:spacing w:after="0" w:line="6"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440"/>
        <w:spacing w:after="0"/>
        <w:tabs>
          <w:tab w:leader="none" w:pos="3880" w:val="left"/>
        </w:tabs>
        <w:rPr>
          <w:sz w:val="20"/>
          <w:szCs w:val="20"/>
          <w:color w:val="auto"/>
        </w:rPr>
      </w:pPr>
      <w:r>
        <w:rPr>
          <w:rFonts w:ascii="Courier New" w:cs="Courier New" w:eastAsia="Courier New" w:hAnsi="Courier New"/>
          <w:sz w:val="14"/>
          <w:szCs w:val="14"/>
          <w:color w:val="auto"/>
        </w:rPr>
        <w:t>Title: Vice President</w:t>
      </w:r>
      <w:r>
        <w:rPr>
          <w:sz w:val="20"/>
          <w:szCs w:val="20"/>
          <w:color w:val="auto"/>
        </w:rPr>
        <w:tab/>
      </w:r>
      <w:r>
        <w:rPr>
          <w:rFonts w:ascii="Courier New" w:cs="Courier New" w:eastAsia="Courier New" w:hAnsi="Courier New"/>
          <w:sz w:val="14"/>
          <w:szCs w:val="14"/>
          <w:color w:val="auto"/>
        </w:rPr>
        <w:t>Asst. Vice President</w:t>
      </w:r>
    </w:p>
    <w:p>
      <w:pPr>
        <w:spacing w:after="0" w:line="6"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019"/>
          </w:cols>
          <w:pgMar w:left="1440" w:top="612" w:right="1440" w:bottom="1440" w:gutter="0" w:footer="0" w:header="0"/>
        </w:sectPr>
      </w:pPr>
    </w:p>
    <w:bookmarkStart w:id="69" w:name="page70"/>
    <w:bookmarkEnd w:id="69"/>
    <w:p>
      <w:pPr>
        <w:ind w:left="2620"/>
        <w:spacing w:after="0"/>
        <w:rPr>
          <w:sz w:val="20"/>
          <w:szCs w:val="20"/>
          <w:color w:val="auto"/>
        </w:rPr>
      </w:pPr>
      <w:r>
        <w:rPr>
          <w:rFonts w:ascii="Courier New" w:cs="Courier New" w:eastAsia="Courier New" w:hAnsi="Courier New"/>
          <w:sz w:val="14"/>
          <w:szCs w:val="14"/>
          <w:color w:val="auto"/>
        </w:rPr>
        <w:t>DG BANK DEUTSCHE GENOSSENSCHAFTSBANK</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AG, CAYMAN ISLANDS BRANCH</w:t>
      </w:r>
    </w:p>
    <w:p>
      <w:pPr>
        <w:spacing w:after="0" w:line="334"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J.W. SOMERS</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J.W. Somers</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Senior Vice President</w:t>
      </w:r>
    </w:p>
    <w:p>
      <w:pPr>
        <w:spacing w:after="0" w:line="334" w:lineRule="exact"/>
        <w:rPr>
          <w:sz w:val="20"/>
          <w:szCs w:val="20"/>
          <w:color w:val="auto"/>
        </w:rPr>
      </w:pPr>
    </w:p>
    <w:p>
      <w:pPr>
        <w:ind w:left="2620"/>
        <w:spacing w:after="0"/>
        <w:tabs>
          <w:tab w:leader="none" w:pos="3040" w:val="left"/>
        </w:tabs>
        <w:rPr>
          <w:sz w:val="20"/>
          <w:szCs w:val="20"/>
          <w:color w:val="auto"/>
        </w:rPr>
      </w:pPr>
      <w:r>
        <w:rPr>
          <w:rFonts w:ascii="Courier New" w:cs="Courier New" w:eastAsia="Courier New" w:hAnsi="Courier New"/>
          <w:sz w:val="14"/>
          <w:szCs w:val="14"/>
          <w:color w:val="auto"/>
        </w:rPr>
        <w:t>By:</w:t>
        <w:tab/>
        <w:t>/S/ KURT A. MORRIS</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Name: Kurt A. Morris</w:t>
      </w:r>
    </w:p>
    <w:p>
      <w:pPr>
        <w:spacing w:after="0" w:line="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019"/>
          </w:cols>
          <w:pgMar w:left="1440" w:top="612" w:right="1440" w:bottom="1440" w:gutter="0" w:footer="0" w:header="0"/>
        </w:sectPr>
      </w:pPr>
    </w:p>
    <w:bookmarkStart w:id="70" w:name="page71"/>
    <w:bookmarkEnd w:id="70"/>
    <w:p>
      <w:pPr>
        <w:ind w:left="2540"/>
        <w:spacing w:after="0"/>
        <w:rPr>
          <w:sz w:val="20"/>
          <w:szCs w:val="20"/>
          <w:color w:val="auto"/>
        </w:rPr>
      </w:pPr>
      <w:r>
        <w:rPr>
          <w:rFonts w:ascii="Courier New" w:cs="Courier New" w:eastAsia="Courier New" w:hAnsi="Courier New"/>
          <w:sz w:val="14"/>
          <w:szCs w:val="14"/>
          <w:color w:val="auto"/>
        </w:rPr>
        <w:t>THE INDUSTRIAL BANK OF JAPAN, LIMITED</w:t>
      </w:r>
    </w:p>
    <w:p>
      <w:pPr>
        <w:spacing w:after="0" w:line="334" w:lineRule="exact"/>
        <w:rPr>
          <w:sz w:val="20"/>
          <w:szCs w:val="20"/>
          <w:color w:val="auto"/>
        </w:rPr>
      </w:pPr>
    </w:p>
    <w:p>
      <w:pPr>
        <w:ind w:left="2540"/>
        <w:spacing w:after="0"/>
        <w:tabs>
          <w:tab w:leader="none" w:pos="2940" w:val="left"/>
        </w:tabs>
        <w:rPr>
          <w:sz w:val="20"/>
          <w:szCs w:val="20"/>
          <w:color w:val="auto"/>
        </w:rPr>
      </w:pPr>
      <w:r>
        <w:rPr>
          <w:rFonts w:ascii="Courier New" w:cs="Courier New" w:eastAsia="Courier New" w:hAnsi="Courier New"/>
          <w:sz w:val="14"/>
          <w:szCs w:val="14"/>
          <w:color w:val="auto"/>
        </w:rPr>
        <w:t>By:</w:t>
        <w:tab/>
        <w:t>/S/ MINAMI MIURA</w:t>
      </w:r>
    </w:p>
    <w:p>
      <w:pPr>
        <w:spacing w:after="0" w:line="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Name: Minami Miura</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Title: Vice President</w:t>
      </w:r>
    </w:p>
    <w:p>
      <w:pPr>
        <w:spacing w:after="0" w:line="33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019"/>
          </w:cols>
          <w:pgMar w:left="1440" w:top="612" w:right="1440" w:bottom="1440" w:gutter="0" w:footer="0" w:header="0"/>
        </w:sectPr>
      </w:pPr>
    </w:p>
    <w:bookmarkStart w:id="71" w:name="page72"/>
    <w:bookmarkEnd w:id="71"/>
    <w:p>
      <w:pPr>
        <w:ind w:left="2620"/>
        <w:spacing w:after="0"/>
        <w:rPr>
          <w:sz w:val="20"/>
          <w:szCs w:val="20"/>
          <w:color w:val="auto"/>
        </w:rPr>
      </w:pPr>
      <w:r>
        <w:rPr>
          <w:rFonts w:ascii="Courier New" w:cs="Courier New" w:eastAsia="Courier New" w:hAnsi="Courier New"/>
          <w:sz w:val="14"/>
          <w:szCs w:val="14"/>
          <w:color w:val="auto"/>
        </w:rPr>
        <w:t>THE NORTHERN TRUST COMPANY</w:t>
      </w:r>
    </w:p>
    <w:p>
      <w:pPr>
        <w:spacing w:after="0" w:line="334"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(unsigned)</w:t>
      </w:r>
    </w:p>
    <w:p>
      <w:pPr>
        <w:spacing w:after="0" w:line="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20"/>
        <w:spacing w:after="0"/>
        <w:tabs>
          <w:tab w:leader="none" w:pos="33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Raheela Gill Anwar</w:t>
      </w:r>
    </w:p>
    <w:p>
      <w:pPr>
        <w:spacing w:after="0" w:line="6" w:lineRule="exact"/>
        <w:rPr>
          <w:sz w:val="20"/>
          <w:szCs w:val="20"/>
          <w:color w:val="auto"/>
        </w:rPr>
      </w:pPr>
    </w:p>
    <w:p>
      <w:pPr>
        <w:ind w:left="2620"/>
        <w:spacing w:after="0"/>
        <w:tabs>
          <w:tab w:leader="none" w:pos="338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170"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019"/>
          </w:cols>
          <w:pgMar w:left="1440" w:top="612" w:right="1440" w:bottom="1440" w:gutter="0" w:footer="0" w:header="0"/>
        </w:sectPr>
      </w:pPr>
    </w:p>
    <w:bookmarkStart w:id="72" w:name="page73"/>
    <w:bookmarkEnd w:id="72"/>
    <w:p>
      <w:pPr>
        <w:jc w:val="right"/>
        <w:ind w:right="3319"/>
        <w:spacing w:after="0"/>
        <w:rPr>
          <w:sz w:val="20"/>
          <w:szCs w:val="20"/>
          <w:color w:val="auto"/>
        </w:rPr>
      </w:pPr>
      <w:r>
        <w:rPr>
          <w:rFonts w:ascii="Courier New" w:cs="Courier New" w:eastAsia="Courier New" w:hAnsi="Courier New"/>
          <w:sz w:val="14"/>
          <w:szCs w:val="14"/>
          <w:color w:val="auto"/>
        </w:rPr>
        <w:t>EXHIBIT 10.13</w:t>
      </w:r>
    </w:p>
    <w:p>
      <w:pPr>
        <w:spacing w:after="0" w:line="17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EXECUTION COUNTERPART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WATSCO, INC.</w:t>
      </w:r>
    </w:p>
    <w:p>
      <w:pPr>
        <w:spacing w:after="0" w:line="200" w:lineRule="exact"/>
        <w:rPr>
          <w:sz w:val="20"/>
          <w:szCs w:val="20"/>
          <w:color w:val="auto"/>
        </w:rPr>
      </w:pPr>
    </w:p>
    <w:p>
      <w:pPr>
        <w:spacing w:after="0" w:line="29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$125,000,000</w:t>
      </w:r>
    </w:p>
    <w:p>
      <w:pPr>
        <w:spacing w:after="0" w:line="170"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PRIVATE SHELF AGREEMENT</w:t>
      </w:r>
    </w:p>
    <w:p>
      <w:pPr>
        <w:spacing w:after="0" w:line="200" w:lineRule="exact"/>
        <w:rPr>
          <w:sz w:val="20"/>
          <w:szCs w:val="20"/>
          <w:color w:val="auto"/>
        </w:rPr>
      </w:pPr>
    </w:p>
    <w:p>
      <w:pPr>
        <w:spacing w:after="0" w:line="299"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AS OF JANUARY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TABLE OF CONTENTS</w:t>
      </w:r>
    </w:p>
    <w:p>
      <w:pPr>
        <w:spacing w:after="0" w:line="170" w:lineRule="exact"/>
        <w:rPr>
          <w:sz w:val="20"/>
          <w:szCs w:val="20"/>
          <w:color w:val="auto"/>
        </w:rPr>
      </w:pPr>
    </w:p>
    <w:p>
      <w:pPr>
        <w:spacing w:after="0"/>
        <w:tabs>
          <w:tab w:leader="none" w:pos="9220" w:val="left"/>
        </w:tabs>
        <w:rPr>
          <w:sz w:val="20"/>
          <w:szCs w:val="20"/>
          <w:color w:val="auto"/>
        </w:rPr>
      </w:pPr>
      <w:r>
        <w:rPr>
          <w:rFonts w:ascii="Courier New" w:cs="Courier New" w:eastAsia="Courier New" w:hAnsi="Courier New"/>
          <w:sz w:val="14"/>
          <w:szCs w:val="14"/>
          <w:color w:val="auto"/>
        </w:rPr>
        <w:t>PARAGRAPH</w:t>
      </w:r>
      <w:r>
        <w:rPr>
          <w:sz w:val="20"/>
          <w:szCs w:val="20"/>
          <w:color w:val="auto"/>
        </w:rPr>
        <w:tab/>
      </w:r>
      <w:r>
        <w:rPr>
          <w:rFonts w:ascii="Courier New" w:cs="Courier New" w:eastAsia="Courier New" w:hAnsi="Courier New"/>
          <w:sz w:val="14"/>
          <w:szCs w:val="14"/>
          <w:color w:val="auto"/>
        </w:rPr>
        <w:t>PAGE</w:t>
      </w:r>
    </w:p>
    <w:p>
      <w:pPr>
        <w:spacing w:after="0" w:line="170" w:lineRule="exact"/>
        <w:rPr>
          <w:sz w:val="20"/>
          <w:szCs w:val="20"/>
          <w:color w:val="auto"/>
        </w:rPr>
      </w:pPr>
    </w:p>
    <w:p>
      <w:pPr>
        <w:spacing w:after="0"/>
        <w:tabs>
          <w:tab w:leader="none" w:pos="760" w:val="left"/>
          <w:tab w:leader="dot" w:pos="938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AUTHORIZATION OF ISSUE OF NOTES</w:t>
      </w:r>
      <w:r>
        <w:rPr>
          <w:sz w:val="20"/>
          <w:szCs w:val="20"/>
          <w:color w:val="auto"/>
        </w:rPr>
        <w:tab/>
      </w:r>
      <w:r>
        <w:rPr>
          <w:rFonts w:ascii="Courier New" w:cs="Courier New" w:eastAsia="Courier New" w:hAnsi="Courier New"/>
          <w:sz w:val="14"/>
          <w:szCs w:val="14"/>
          <w:color w:val="auto"/>
        </w:rPr>
        <w:t>1</w:t>
      </w:r>
    </w:p>
    <w:p>
      <w:pPr>
        <w:spacing w:after="0" w:line="170" w:lineRule="exact"/>
        <w:rPr>
          <w:sz w:val="20"/>
          <w:szCs w:val="20"/>
          <w:color w:val="auto"/>
        </w:rPr>
      </w:pPr>
    </w:p>
    <w:p>
      <w:pPr>
        <w:spacing w:after="0"/>
        <w:tabs>
          <w:tab w:leader="none" w:pos="760" w:val="left"/>
          <w:tab w:leader="dot" w:pos="938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PURCHASE AND SALE OF NOTES</w:t>
      </w:r>
      <w:r>
        <w:rPr>
          <w:sz w:val="20"/>
          <w:szCs w:val="20"/>
          <w:color w:val="auto"/>
        </w:rPr>
        <w:tab/>
      </w:r>
      <w:r>
        <w:rPr>
          <w:rFonts w:ascii="Courier New" w:cs="Courier New" w:eastAsia="Courier New" w:hAnsi="Courier New"/>
          <w:sz w:val="14"/>
          <w:szCs w:val="14"/>
          <w:color w:val="auto"/>
        </w:rPr>
        <w:t>2</w:t>
      </w:r>
    </w:p>
    <w:p>
      <w:pPr>
        <w:spacing w:after="0" w:line="170" w:lineRule="exact"/>
        <w:rPr>
          <w:sz w:val="20"/>
          <w:szCs w:val="20"/>
          <w:color w:val="auto"/>
        </w:rPr>
      </w:pPr>
    </w:p>
    <w:p>
      <w:pPr>
        <w:ind w:left="780"/>
        <w:spacing w:after="0"/>
        <w:tabs>
          <w:tab w:leader="none" w:pos="1180" w:val="left"/>
          <w:tab w:leader="dot" w:pos="9380" w:val="left"/>
        </w:tabs>
        <w:rPr>
          <w:sz w:val="20"/>
          <w:szCs w:val="20"/>
          <w:color w:val="auto"/>
        </w:rPr>
      </w:pPr>
      <w:r>
        <w:rPr>
          <w:rFonts w:ascii="Courier New" w:cs="Courier New" w:eastAsia="Courier New" w:hAnsi="Courier New"/>
          <w:sz w:val="14"/>
          <w:szCs w:val="14"/>
          <w:color w:val="auto"/>
        </w:rPr>
        <w:t>2A.</w:t>
        <w:tab/>
        <w:t>Facility</w:t>
      </w:r>
      <w:r>
        <w:rPr>
          <w:sz w:val="20"/>
          <w:szCs w:val="20"/>
          <w:color w:val="auto"/>
        </w:rPr>
        <w:tab/>
      </w:r>
      <w:r>
        <w:rPr>
          <w:rFonts w:ascii="Courier New" w:cs="Courier New" w:eastAsia="Courier New" w:hAnsi="Courier New"/>
          <w:sz w:val="14"/>
          <w:szCs w:val="14"/>
          <w:color w:val="auto"/>
        </w:rPr>
        <w:t>2</w:t>
      </w:r>
    </w:p>
    <w:p>
      <w:pPr>
        <w:spacing w:after="0" w:line="6" w:lineRule="exact"/>
        <w:rPr>
          <w:sz w:val="20"/>
          <w:szCs w:val="20"/>
          <w:color w:val="auto"/>
        </w:rPr>
      </w:pPr>
    </w:p>
    <w:p>
      <w:pPr>
        <w:ind w:left="780"/>
        <w:spacing w:after="0"/>
        <w:tabs>
          <w:tab w:leader="none" w:pos="1180" w:val="left"/>
          <w:tab w:leader="dot" w:pos="9380" w:val="left"/>
        </w:tabs>
        <w:rPr>
          <w:sz w:val="20"/>
          <w:szCs w:val="20"/>
          <w:color w:val="auto"/>
        </w:rPr>
      </w:pPr>
      <w:r>
        <w:rPr>
          <w:rFonts w:ascii="Courier New" w:cs="Courier New" w:eastAsia="Courier New" w:hAnsi="Courier New"/>
          <w:sz w:val="14"/>
          <w:szCs w:val="14"/>
          <w:color w:val="auto"/>
        </w:rPr>
        <w:t>2B.</w:t>
        <w:tab/>
        <w:t>Issuance Period</w:t>
      </w:r>
      <w:r>
        <w:rPr>
          <w:sz w:val="20"/>
          <w:szCs w:val="20"/>
          <w:color w:val="auto"/>
        </w:rPr>
        <w:tab/>
      </w:r>
      <w:r>
        <w:rPr>
          <w:rFonts w:ascii="Courier New" w:cs="Courier New" w:eastAsia="Courier New" w:hAnsi="Courier New"/>
          <w:sz w:val="14"/>
          <w:szCs w:val="14"/>
          <w:color w:val="auto"/>
        </w:rPr>
        <w:t>2</w:t>
      </w:r>
    </w:p>
    <w:p>
      <w:pPr>
        <w:spacing w:after="0" w:line="6" w:lineRule="exact"/>
        <w:rPr>
          <w:sz w:val="20"/>
          <w:szCs w:val="20"/>
          <w:color w:val="auto"/>
        </w:rPr>
      </w:pPr>
    </w:p>
    <w:p>
      <w:pPr>
        <w:ind w:left="780"/>
        <w:spacing w:after="0"/>
        <w:tabs>
          <w:tab w:leader="none" w:pos="1180" w:val="left"/>
          <w:tab w:leader="dot" w:pos="9380" w:val="left"/>
        </w:tabs>
        <w:rPr>
          <w:sz w:val="20"/>
          <w:szCs w:val="20"/>
          <w:color w:val="auto"/>
        </w:rPr>
      </w:pPr>
      <w:r>
        <w:rPr>
          <w:rFonts w:ascii="Courier New" w:cs="Courier New" w:eastAsia="Courier New" w:hAnsi="Courier New"/>
          <w:sz w:val="14"/>
          <w:szCs w:val="14"/>
          <w:color w:val="auto"/>
        </w:rPr>
        <w:t>2C.</w:t>
        <w:tab/>
        <w:t>Periodic Spread Information</w:t>
      </w:r>
      <w:r>
        <w:rPr>
          <w:sz w:val="20"/>
          <w:szCs w:val="20"/>
          <w:color w:val="auto"/>
        </w:rPr>
        <w:tab/>
      </w:r>
      <w:r>
        <w:rPr>
          <w:rFonts w:ascii="Courier New" w:cs="Courier New" w:eastAsia="Courier New" w:hAnsi="Courier New"/>
          <w:sz w:val="14"/>
          <w:szCs w:val="14"/>
          <w:color w:val="auto"/>
        </w:rPr>
        <w:t>2</w:t>
      </w:r>
    </w:p>
    <w:p>
      <w:pPr>
        <w:spacing w:after="0" w:line="6" w:lineRule="exact"/>
        <w:rPr>
          <w:sz w:val="20"/>
          <w:szCs w:val="20"/>
          <w:color w:val="auto"/>
        </w:rPr>
      </w:pPr>
    </w:p>
    <w:p>
      <w:pPr>
        <w:ind w:left="780"/>
        <w:spacing w:after="0"/>
        <w:tabs>
          <w:tab w:leader="none" w:pos="1180" w:val="left"/>
          <w:tab w:leader="dot" w:pos="9380" w:val="left"/>
        </w:tabs>
        <w:rPr>
          <w:sz w:val="20"/>
          <w:szCs w:val="20"/>
          <w:color w:val="auto"/>
        </w:rPr>
      </w:pPr>
      <w:r>
        <w:rPr>
          <w:rFonts w:ascii="Courier New" w:cs="Courier New" w:eastAsia="Courier New" w:hAnsi="Courier New"/>
          <w:sz w:val="14"/>
          <w:szCs w:val="14"/>
          <w:color w:val="auto"/>
        </w:rPr>
        <w:t>2D.</w:t>
        <w:tab/>
        <w:t>Request for Purchase</w:t>
      </w:r>
      <w:r>
        <w:rPr>
          <w:sz w:val="20"/>
          <w:szCs w:val="20"/>
          <w:color w:val="auto"/>
        </w:rPr>
        <w:tab/>
      </w:r>
      <w:r>
        <w:rPr>
          <w:rFonts w:ascii="Courier New" w:cs="Courier New" w:eastAsia="Courier New" w:hAnsi="Courier New"/>
          <w:sz w:val="14"/>
          <w:szCs w:val="14"/>
          <w:color w:val="auto"/>
        </w:rPr>
        <w:t>3</w:t>
      </w:r>
    </w:p>
    <w:p>
      <w:pPr>
        <w:spacing w:after="0" w:line="6" w:lineRule="exact"/>
        <w:rPr>
          <w:sz w:val="20"/>
          <w:szCs w:val="20"/>
          <w:color w:val="auto"/>
        </w:rPr>
      </w:pPr>
    </w:p>
    <w:p>
      <w:pPr>
        <w:ind w:left="780"/>
        <w:spacing w:after="0"/>
        <w:tabs>
          <w:tab w:leader="none" w:pos="1180" w:val="left"/>
          <w:tab w:leader="dot" w:pos="9380" w:val="left"/>
        </w:tabs>
        <w:rPr>
          <w:sz w:val="20"/>
          <w:szCs w:val="20"/>
          <w:color w:val="auto"/>
        </w:rPr>
      </w:pPr>
      <w:r>
        <w:rPr>
          <w:rFonts w:ascii="Courier New" w:cs="Courier New" w:eastAsia="Courier New" w:hAnsi="Courier New"/>
          <w:sz w:val="14"/>
          <w:szCs w:val="14"/>
          <w:color w:val="auto"/>
        </w:rPr>
        <w:t>2E.</w:t>
        <w:tab/>
        <w:t>Rate Quotes</w:t>
      </w:r>
      <w:r>
        <w:rPr>
          <w:sz w:val="20"/>
          <w:szCs w:val="20"/>
          <w:color w:val="auto"/>
        </w:rPr>
        <w:tab/>
      </w:r>
      <w:r>
        <w:rPr>
          <w:rFonts w:ascii="Courier New" w:cs="Courier New" w:eastAsia="Courier New" w:hAnsi="Courier New"/>
          <w:sz w:val="14"/>
          <w:szCs w:val="14"/>
          <w:color w:val="auto"/>
        </w:rPr>
        <w:t>4</w:t>
      </w:r>
    </w:p>
    <w:p>
      <w:pPr>
        <w:spacing w:after="0" w:line="6" w:lineRule="exact"/>
        <w:rPr>
          <w:sz w:val="20"/>
          <w:szCs w:val="20"/>
          <w:color w:val="auto"/>
        </w:rPr>
      </w:pPr>
    </w:p>
    <w:p>
      <w:pPr>
        <w:ind w:left="780"/>
        <w:spacing w:after="0"/>
        <w:tabs>
          <w:tab w:leader="none" w:pos="1180" w:val="left"/>
          <w:tab w:leader="dot" w:pos="9380" w:val="left"/>
        </w:tabs>
        <w:rPr>
          <w:sz w:val="20"/>
          <w:szCs w:val="20"/>
          <w:color w:val="auto"/>
        </w:rPr>
      </w:pPr>
      <w:r>
        <w:rPr>
          <w:rFonts w:ascii="Courier New" w:cs="Courier New" w:eastAsia="Courier New" w:hAnsi="Courier New"/>
          <w:sz w:val="14"/>
          <w:szCs w:val="14"/>
          <w:color w:val="auto"/>
        </w:rPr>
        <w:t>2F.</w:t>
        <w:tab/>
        <w:t>Acceptance</w:t>
      </w:r>
      <w:r>
        <w:rPr>
          <w:sz w:val="20"/>
          <w:szCs w:val="20"/>
          <w:color w:val="auto"/>
        </w:rPr>
        <w:tab/>
      </w:r>
      <w:r>
        <w:rPr>
          <w:rFonts w:ascii="Courier New" w:cs="Courier New" w:eastAsia="Courier New" w:hAnsi="Courier New"/>
          <w:sz w:val="14"/>
          <w:szCs w:val="14"/>
          <w:color w:val="auto"/>
        </w:rPr>
        <w:t>4</w:t>
      </w:r>
    </w:p>
    <w:p>
      <w:pPr>
        <w:spacing w:after="0" w:line="6" w:lineRule="exact"/>
        <w:rPr>
          <w:sz w:val="20"/>
          <w:szCs w:val="20"/>
          <w:color w:val="auto"/>
        </w:rPr>
      </w:pPr>
    </w:p>
    <w:p>
      <w:pPr>
        <w:ind w:left="780"/>
        <w:spacing w:after="0"/>
        <w:tabs>
          <w:tab w:leader="none" w:pos="1180" w:val="left"/>
          <w:tab w:leader="dot" w:pos="9380" w:val="left"/>
        </w:tabs>
        <w:rPr>
          <w:sz w:val="20"/>
          <w:szCs w:val="20"/>
          <w:color w:val="auto"/>
        </w:rPr>
      </w:pPr>
      <w:r>
        <w:rPr>
          <w:rFonts w:ascii="Courier New" w:cs="Courier New" w:eastAsia="Courier New" w:hAnsi="Courier New"/>
          <w:sz w:val="14"/>
          <w:szCs w:val="14"/>
          <w:color w:val="auto"/>
        </w:rPr>
        <w:t>2G.</w:t>
        <w:tab/>
        <w:t>Market Disruption</w:t>
      </w:r>
      <w:r>
        <w:rPr>
          <w:sz w:val="20"/>
          <w:szCs w:val="20"/>
          <w:color w:val="auto"/>
        </w:rPr>
        <w:tab/>
      </w:r>
      <w:r>
        <w:rPr>
          <w:rFonts w:ascii="Courier New" w:cs="Courier New" w:eastAsia="Courier New" w:hAnsi="Courier New"/>
          <w:sz w:val="14"/>
          <w:szCs w:val="14"/>
          <w:color w:val="auto"/>
        </w:rPr>
        <w:t>4</w:t>
      </w:r>
    </w:p>
    <w:p>
      <w:pPr>
        <w:spacing w:after="0" w:line="6" w:lineRule="exact"/>
        <w:rPr>
          <w:sz w:val="20"/>
          <w:szCs w:val="20"/>
          <w:color w:val="auto"/>
        </w:rPr>
      </w:pPr>
    </w:p>
    <w:p>
      <w:pPr>
        <w:ind w:left="780"/>
        <w:spacing w:after="0"/>
        <w:tabs>
          <w:tab w:leader="none" w:pos="1180" w:val="left"/>
          <w:tab w:leader="dot" w:pos="9380" w:val="left"/>
        </w:tabs>
        <w:rPr>
          <w:sz w:val="20"/>
          <w:szCs w:val="20"/>
          <w:color w:val="auto"/>
        </w:rPr>
      </w:pPr>
      <w:r>
        <w:rPr>
          <w:rFonts w:ascii="Courier New" w:cs="Courier New" w:eastAsia="Courier New" w:hAnsi="Courier New"/>
          <w:sz w:val="14"/>
          <w:szCs w:val="14"/>
          <w:color w:val="auto"/>
        </w:rPr>
        <w:t>2H.</w:t>
        <w:tab/>
        <w:t>Facility Closings</w:t>
      </w:r>
      <w:r>
        <w:rPr>
          <w:sz w:val="20"/>
          <w:szCs w:val="20"/>
          <w:color w:val="auto"/>
        </w:rPr>
        <w:tab/>
      </w:r>
      <w:r>
        <w:rPr>
          <w:rFonts w:ascii="Courier New" w:cs="Courier New" w:eastAsia="Courier New" w:hAnsi="Courier New"/>
          <w:sz w:val="14"/>
          <w:szCs w:val="14"/>
          <w:color w:val="auto"/>
        </w:rPr>
        <w:t>5</w:t>
      </w:r>
    </w:p>
    <w:p>
      <w:pPr>
        <w:spacing w:after="0" w:line="6" w:lineRule="exact"/>
        <w:rPr>
          <w:sz w:val="20"/>
          <w:szCs w:val="20"/>
          <w:color w:val="auto"/>
        </w:rPr>
      </w:pPr>
    </w:p>
    <w:p>
      <w:pPr>
        <w:ind w:left="780"/>
        <w:spacing w:after="0"/>
        <w:tabs>
          <w:tab w:leader="none" w:pos="1180" w:val="left"/>
          <w:tab w:leader="dot" w:pos="9380" w:val="left"/>
        </w:tabs>
        <w:rPr>
          <w:sz w:val="20"/>
          <w:szCs w:val="20"/>
          <w:color w:val="auto"/>
        </w:rPr>
      </w:pPr>
      <w:r>
        <w:rPr>
          <w:rFonts w:ascii="Courier New" w:cs="Courier New" w:eastAsia="Courier New" w:hAnsi="Courier New"/>
          <w:sz w:val="14"/>
          <w:szCs w:val="14"/>
          <w:color w:val="auto"/>
        </w:rPr>
        <w:t>2I.</w:t>
        <w:tab/>
        <w:t>Fees</w:t>
      </w:r>
      <w:r>
        <w:rPr>
          <w:sz w:val="20"/>
          <w:szCs w:val="20"/>
          <w:color w:val="auto"/>
        </w:rPr>
        <w:tab/>
      </w:r>
      <w:r>
        <w:rPr>
          <w:rFonts w:ascii="Courier New" w:cs="Courier New" w:eastAsia="Courier New" w:hAnsi="Courier New"/>
          <w:sz w:val="14"/>
          <w:szCs w:val="14"/>
          <w:color w:val="auto"/>
        </w:rPr>
        <w:t>5</w:t>
      </w:r>
    </w:p>
    <w:p>
      <w:pPr>
        <w:spacing w:after="0" w:line="170" w:lineRule="exact"/>
        <w:rPr>
          <w:sz w:val="20"/>
          <w:szCs w:val="20"/>
          <w:color w:val="auto"/>
        </w:rPr>
      </w:pPr>
    </w:p>
    <w:p>
      <w:pPr>
        <w:spacing w:after="0"/>
        <w:tabs>
          <w:tab w:leader="none" w:pos="760" w:val="left"/>
          <w:tab w:leader="dot" w:pos="93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CONDITIONS OF CLOSING</w:t>
      </w:r>
      <w:r>
        <w:rPr>
          <w:sz w:val="20"/>
          <w:szCs w:val="20"/>
          <w:color w:val="auto"/>
        </w:rPr>
        <w:tab/>
      </w:r>
      <w:r>
        <w:rPr>
          <w:rFonts w:ascii="Courier New" w:cs="Courier New" w:eastAsia="Courier New" w:hAnsi="Courier New"/>
          <w:sz w:val="14"/>
          <w:szCs w:val="14"/>
          <w:color w:val="auto"/>
        </w:rPr>
        <w:t>7</w:t>
      </w:r>
    </w:p>
    <w:p>
      <w:pPr>
        <w:spacing w:after="0" w:line="170" w:lineRule="exact"/>
        <w:rPr>
          <w:sz w:val="20"/>
          <w:szCs w:val="20"/>
          <w:color w:val="auto"/>
        </w:rPr>
      </w:pPr>
    </w:p>
    <w:p>
      <w:pPr>
        <w:ind w:left="780"/>
        <w:spacing w:after="0"/>
        <w:tabs>
          <w:tab w:leader="none" w:pos="1180" w:val="left"/>
          <w:tab w:leader="dot" w:pos="9380" w:val="left"/>
        </w:tabs>
        <w:rPr>
          <w:sz w:val="20"/>
          <w:szCs w:val="20"/>
          <w:color w:val="auto"/>
        </w:rPr>
      </w:pPr>
      <w:r>
        <w:rPr>
          <w:rFonts w:ascii="Courier New" w:cs="Courier New" w:eastAsia="Courier New" w:hAnsi="Courier New"/>
          <w:sz w:val="14"/>
          <w:szCs w:val="14"/>
          <w:color w:val="auto"/>
        </w:rPr>
        <w:t>3A.</w:t>
        <w:tab/>
        <w:t>Certain Documents</w:t>
      </w:r>
      <w:r>
        <w:rPr>
          <w:sz w:val="20"/>
          <w:szCs w:val="20"/>
          <w:color w:val="auto"/>
        </w:rPr>
        <w:tab/>
      </w:r>
      <w:r>
        <w:rPr>
          <w:rFonts w:ascii="Courier New" w:cs="Courier New" w:eastAsia="Courier New" w:hAnsi="Courier New"/>
          <w:sz w:val="14"/>
          <w:szCs w:val="14"/>
          <w:color w:val="auto"/>
        </w:rPr>
        <w:t>7</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3B.</w:t>
        <w:tab/>
        <w:t>Opinion of Purchaser's Special Counsel</w:t>
      </w:r>
      <w:r>
        <w:rPr>
          <w:sz w:val="20"/>
          <w:szCs w:val="20"/>
          <w:color w:val="auto"/>
        </w:rPr>
        <w:tab/>
      </w:r>
      <w:r>
        <w:rPr>
          <w:rFonts w:ascii="Courier New" w:cs="Courier New" w:eastAsia="Courier New" w:hAnsi="Courier New"/>
          <w:sz w:val="14"/>
          <w:szCs w:val="14"/>
          <w:color w:val="auto"/>
        </w:rPr>
        <w:t>10</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3C.</w:t>
        <w:tab/>
        <w:t>Representations and Warranties; No Default</w:t>
      </w:r>
      <w:r>
        <w:rPr>
          <w:sz w:val="20"/>
          <w:szCs w:val="20"/>
          <w:color w:val="auto"/>
        </w:rPr>
        <w:tab/>
      </w:r>
      <w:r>
        <w:rPr>
          <w:rFonts w:ascii="Courier New" w:cs="Courier New" w:eastAsia="Courier New" w:hAnsi="Courier New"/>
          <w:sz w:val="14"/>
          <w:szCs w:val="14"/>
          <w:color w:val="auto"/>
        </w:rPr>
        <w:t>10</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3D.</w:t>
        <w:tab/>
        <w:t>Purchase Permitted by Applicable Laws</w:t>
      </w:r>
      <w:r>
        <w:rPr>
          <w:sz w:val="20"/>
          <w:szCs w:val="20"/>
          <w:color w:val="auto"/>
        </w:rPr>
        <w:tab/>
      </w:r>
      <w:r>
        <w:rPr>
          <w:rFonts w:ascii="Courier New" w:cs="Courier New" w:eastAsia="Courier New" w:hAnsi="Courier New"/>
          <w:sz w:val="14"/>
          <w:szCs w:val="14"/>
          <w:color w:val="auto"/>
        </w:rPr>
        <w:t>10</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3E.</w:t>
        <w:tab/>
        <w:t>Payment of Fees</w:t>
      </w:r>
      <w:r>
        <w:rPr>
          <w:sz w:val="20"/>
          <w:szCs w:val="20"/>
          <w:color w:val="auto"/>
        </w:rPr>
        <w:tab/>
      </w:r>
      <w:r>
        <w:rPr>
          <w:rFonts w:ascii="Courier New" w:cs="Courier New" w:eastAsia="Courier New" w:hAnsi="Courier New"/>
          <w:sz w:val="14"/>
          <w:szCs w:val="14"/>
          <w:color w:val="auto"/>
        </w:rPr>
        <w:t>10</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3F.</w:t>
        <w:tab/>
        <w:t>No Material Adverse Change</w:t>
      </w:r>
      <w:r>
        <w:rPr>
          <w:sz w:val="20"/>
          <w:szCs w:val="20"/>
          <w:color w:val="auto"/>
        </w:rPr>
        <w:tab/>
      </w:r>
      <w:r>
        <w:rPr>
          <w:rFonts w:ascii="Courier New" w:cs="Courier New" w:eastAsia="Courier New" w:hAnsi="Courier New"/>
          <w:sz w:val="14"/>
          <w:szCs w:val="14"/>
          <w:color w:val="auto"/>
        </w:rPr>
        <w:t>10</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3G.</w:t>
        <w:tab/>
        <w:t>Private Placement Number</w:t>
      </w:r>
      <w:r>
        <w:rPr>
          <w:sz w:val="20"/>
          <w:szCs w:val="20"/>
          <w:color w:val="auto"/>
        </w:rPr>
        <w:tab/>
      </w:r>
      <w:r>
        <w:rPr>
          <w:rFonts w:ascii="Courier New" w:cs="Courier New" w:eastAsia="Courier New" w:hAnsi="Courier New"/>
          <w:sz w:val="14"/>
          <w:szCs w:val="14"/>
          <w:color w:val="auto"/>
        </w:rPr>
        <w:t>10</w:t>
      </w:r>
    </w:p>
    <w:p>
      <w:pPr>
        <w:spacing w:after="0" w:line="170" w:lineRule="exact"/>
        <w:rPr>
          <w:sz w:val="20"/>
          <w:szCs w:val="20"/>
          <w:color w:val="auto"/>
        </w:rPr>
      </w:pPr>
    </w:p>
    <w:p>
      <w:pPr>
        <w:spacing w:after="0"/>
        <w:tabs>
          <w:tab w:leader="none" w:pos="760" w:val="left"/>
          <w:tab w:leader="dot" w:pos="930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PREPAYMENTS</w:t>
      </w:r>
      <w:r>
        <w:rPr>
          <w:sz w:val="20"/>
          <w:szCs w:val="20"/>
          <w:color w:val="auto"/>
        </w:rPr>
        <w:tab/>
      </w:r>
      <w:r>
        <w:rPr>
          <w:rFonts w:ascii="Courier New" w:cs="Courier New" w:eastAsia="Courier New" w:hAnsi="Courier New"/>
          <w:sz w:val="14"/>
          <w:szCs w:val="14"/>
          <w:color w:val="auto"/>
        </w:rPr>
        <w:t>10</w:t>
      </w:r>
    </w:p>
    <w:p>
      <w:pPr>
        <w:spacing w:after="0" w:line="170"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4A.</w:t>
        <w:tab/>
        <w:t>Required Prepayments of Shelf Notes</w:t>
      </w:r>
      <w:r>
        <w:rPr>
          <w:sz w:val="20"/>
          <w:szCs w:val="20"/>
          <w:color w:val="auto"/>
        </w:rPr>
        <w:tab/>
      </w:r>
      <w:r>
        <w:rPr>
          <w:rFonts w:ascii="Courier New" w:cs="Courier New" w:eastAsia="Courier New" w:hAnsi="Courier New"/>
          <w:sz w:val="14"/>
          <w:szCs w:val="14"/>
          <w:color w:val="auto"/>
        </w:rPr>
        <w:t>11</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4B.</w:t>
        <w:tab/>
        <w:t>Optional Prepayment With Yield-Maintenance Amount</w:t>
      </w:r>
      <w:r>
        <w:rPr>
          <w:sz w:val="20"/>
          <w:szCs w:val="20"/>
          <w:color w:val="auto"/>
        </w:rPr>
        <w:tab/>
      </w:r>
      <w:r>
        <w:rPr>
          <w:rFonts w:ascii="Courier New" w:cs="Courier New" w:eastAsia="Courier New" w:hAnsi="Courier New"/>
          <w:sz w:val="14"/>
          <w:szCs w:val="14"/>
          <w:color w:val="auto"/>
        </w:rPr>
        <w:t>11</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4C.</w:t>
        <w:tab/>
        <w:t>Notice of Optional Prepayment</w:t>
      </w:r>
      <w:r>
        <w:rPr>
          <w:sz w:val="20"/>
          <w:szCs w:val="20"/>
          <w:color w:val="auto"/>
        </w:rPr>
        <w:tab/>
      </w:r>
      <w:r>
        <w:rPr>
          <w:rFonts w:ascii="Courier New" w:cs="Courier New" w:eastAsia="Courier New" w:hAnsi="Courier New"/>
          <w:sz w:val="14"/>
          <w:szCs w:val="14"/>
          <w:color w:val="auto"/>
        </w:rPr>
        <w:t>11</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4D.</w:t>
        <w:tab/>
        <w:t>Application of Prepayments</w:t>
      </w:r>
      <w:r>
        <w:rPr>
          <w:sz w:val="20"/>
          <w:szCs w:val="20"/>
          <w:color w:val="auto"/>
        </w:rPr>
        <w:tab/>
      </w:r>
      <w:r>
        <w:rPr>
          <w:rFonts w:ascii="Courier New" w:cs="Courier New" w:eastAsia="Courier New" w:hAnsi="Courier New"/>
          <w:sz w:val="14"/>
          <w:szCs w:val="14"/>
          <w:color w:val="auto"/>
        </w:rPr>
        <w:t>11</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4E.</w:t>
        <w:tab/>
        <w:t>Retirement of Notes</w:t>
      </w:r>
      <w:r>
        <w:rPr>
          <w:sz w:val="20"/>
          <w:szCs w:val="20"/>
          <w:color w:val="auto"/>
        </w:rPr>
        <w:tab/>
      </w:r>
      <w:r>
        <w:rPr>
          <w:rFonts w:ascii="Courier New" w:cs="Courier New" w:eastAsia="Courier New" w:hAnsi="Courier New"/>
          <w:sz w:val="14"/>
          <w:szCs w:val="14"/>
          <w:color w:val="auto"/>
        </w:rPr>
        <w:t>11</w:t>
      </w:r>
    </w:p>
    <w:p>
      <w:pPr>
        <w:spacing w:after="0" w:line="170" w:lineRule="exact"/>
        <w:rPr>
          <w:sz w:val="20"/>
          <w:szCs w:val="20"/>
          <w:color w:val="auto"/>
        </w:rPr>
      </w:pPr>
    </w:p>
    <w:p>
      <w:pPr>
        <w:spacing w:after="0"/>
        <w:tabs>
          <w:tab w:leader="none" w:pos="760" w:val="left"/>
          <w:tab w:leader="dot" w:pos="93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AFFIRMATIVE COVENANTS</w:t>
      </w:r>
      <w:r>
        <w:rPr>
          <w:sz w:val="20"/>
          <w:szCs w:val="20"/>
          <w:color w:val="auto"/>
        </w:rPr>
        <w:tab/>
      </w:r>
      <w:r>
        <w:rPr>
          <w:rFonts w:ascii="Courier New" w:cs="Courier New" w:eastAsia="Courier New" w:hAnsi="Courier New"/>
          <w:sz w:val="14"/>
          <w:szCs w:val="14"/>
          <w:color w:val="auto"/>
        </w:rPr>
        <w:t>12</w:t>
      </w:r>
    </w:p>
    <w:p>
      <w:pPr>
        <w:spacing w:after="0" w:line="170"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5A.</w:t>
        <w:tab/>
        <w:t>Reporting Requirements</w:t>
      </w:r>
      <w:r>
        <w:rPr>
          <w:sz w:val="20"/>
          <w:szCs w:val="20"/>
          <w:color w:val="auto"/>
        </w:rPr>
        <w:tab/>
      </w:r>
      <w:r>
        <w:rPr>
          <w:rFonts w:ascii="Courier New" w:cs="Courier New" w:eastAsia="Courier New" w:hAnsi="Courier New"/>
          <w:sz w:val="14"/>
          <w:szCs w:val="14"/>
          <w:color w:val="auto"/>
        </w:rPr>
        <w:t>12</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5B.</w:t>
        <w:tab/>
        <w:t>Inspection of Property</w:t>
      </w:r>
      <w:r>
        <w:rPr>
          <w:sz w:val="20"/>
          <w:szCs w:val="20"/>
          <w:color w:val="auto"/>
        </w:rPr>
        <w:tab/>
      </w:r>
      <w:r>
        <w:rPr>
          <w:rFonts w:ascii="Courier New" w:cs="Courier New" w:eastAsia="Courier New" w:hAnsi="Courier New"/>
          <w:sz w:val="14"/>
          <w:szCs w:val="14"/>
          <w:color w:val="auto"/>
        </w:rPr>
        <w:t>14</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5C.</w:t>
        <w:tab/>
        <w:t>Covenant to Secure Notes Equally</w:t>
      </w:r>
      <w:r>
        <w:rPr>
          <w:sz w:val="20"/>
          <w:szCs w:val="20"/>
          <w:color w:val="auto"/>
        </w:rPr>
        <w:tab/>
      </w:r>
      <w:r>
        <w:rPr>
          <w:rFonts w:ascii="Courier New" w:cs="Courier New" w:eastAsia="Courier New" w:hAnsi="Courier New"/>
          <w:sz w:val="14"/>
          <w:szCs w:val="14"/>
          <w:color w:val="auto"/>
        </w:rPr>
        <w:t>15</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5D.</w:t>
        <w:tab/>
        <w:t>Guaranteed Obligations</w:t>
      </w:r>
      <w:r>
        <w:rPr>
          <w:sz w:val="20"/>
          <w:szCs w:val="20"/>
          <w:color w:val="auto"/>
        </w:rPr>
        <w:tab/>
      </w:r>
      <w:r>
        <w:rPr>
          <w:rFonts w:ascii="Courier New" w:cs="Courier New" w:eastAsia="Courier New" w:hAnsi="Courier New"/>
          <w:sz w:val="14"/>
          <w:szCs w:val="14"/>
          <w:color w:val="auto"/>
        </w:rPr>
        <w:t>15</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5E.</w:t>
        <w:tab/>
        <w:t>Maintenance of Insurance</w:t>
      </w:r>
      <w:r>
        <w:rPr>
          <w:sz w:val="20"/>
          <w:szCs w:val="20"/>
          <w:color w:val="auto"/>
        </w:rPr>
        <w:tab/>
      </w:r>
      <w:r>
        <w:rPr>
          <w:rFonts w:ascii="Courier New" w:cs="Courier New" w:eastAsia="Courier New" w:hAnsi="Courier New"/>
          <w:sz w:val="14"/>
          <w:szCs w:val="14"/>
          <w:color w:val="auto"/>
        </w:rPr>
        <w:t>15</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5F.</w:t>
        <w:tab/>
        <w:t>Maintenance of Corporate Existence/Compliance with Law/Preservation of Property</w:t>
      </w:r>
      <w:r>
        <w:rPr>
          <w:sz w:val="20"/>
          <w:szCs w:val="20"/>
          <w:color w:val="auto"/>
        </w:rPr>
        <w:tab/>
      </w:r>
      <w:r>
        <w:rPr>
          <w:rFonts w:ascii="Courier New" w:cs="Courier New" w:eastAsia="Courier New" w:hAnsi="Courier New"/>
          <w:sz w:val="14"/>
          <w:szCs w:val="14"/>
          <w:color w:val="auto"/>
        </w:rPr>
        <w:t>15</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5G.</w:t>
        <w:tab/>
        <w:t>Compliance with Environmental Laws</w:t>
      </w:r>
      <w:r>
        <w:rPr>
          <w:sz w:val="20"/>
          <w:szCs w:val="20"/>
          <w:color w:val="auto"/>
        </w:rPr>
        <w:tab/>
      </w:r>
      <w:r>
        <w:rPr>
          <w:rFonts w:ascii="Courier New" w:cs="Courier New" w:eastAsia="Courier New" w:hAnsi="Courier New"/>
          <w:sz w:val="14"/>
          <w:szCs w:val="14"/>
          <w:color w:val="auto"/>
        </w:rPr>
        <w:t>16</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5H.</w:t>
        <w:tab/>
        <w:t>No Integration</w:t>
      </w:r>
      <w:r>
        <w:rPr>
          <w:sz w:val="20"/>
          <w:szCs w:val="20"/>
          <w:color w:val="auto"/>
        </w:rPr>
        <w:tab/>
      </w:r>
      <w:r>
        <w:rPr>
          <w:rFonts w:ascii="Courier New" w:cs="Courier New" w:eastAsia="Courier New" w:hAnsi="Courier New"/>
          <w:sz w:val="14"/>
          <w:szCs w:val="14"/>
          <w:color w:val="auto"/>
        </w:rPr>
        <w:t>16</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5I.</w:t>
        <w:tab/>
        <w:t>Financial Records</w:t>
      </w:r>
      <w:r>
        <w:rPr>
          <w:sz w:val="20"/>
          <w:szCs w:val="20"/>
          <w:color w:val="auto"/>
        </w:rPr>
        <w:tab/>
      </w:r>
      <w:r>
        <w:rPr>
          <w:rFonts w:ascii="Courier New" w:cs="Courier New" w:eastAsia="Courier New" w:hAnsi="Courier New"/>
          <w:sz w:val="14"/>
          <w:szCs w:val="14"/>
          <w:color w:val="auto"/>
        </w:rPr>
        <w:t>16</w:t>
      </w:r>
    </w:p>
    <w:p>
      <w:pPr>
        <w:sectPr>
          <w:pgSz w:w="11900" w:h="16838" w:orient="portrait"/>
          <w:cols w:equalWidth="0" w:num="1">
            <w:col w:w="10159"/>
          </w:cols>
          <w:pgMar w:left="300" w:top="141"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159"/>
          </w:cols>
          <w:pgMar w:left="300" w:top="141" w:right="1440" w:bottom="1440" w:gutter="0" w:footer="0" w:header="0"/>
          <w:type w:val="continuous"/>
        </w:sectPr>
      </w:pPr>
    </w:p>
    <w:bookmarkStart w:id="73" w:name="page74"/>
    <w:bookmarkEnd w:id="73"/>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5J.</w:t>
        <w:tab/>
        <w:t>Other Covenants</w:t>
      </w:r>
      <w:r>
        <w:rPr>
          <w:sz w:val="20"/>
          <w:szCs w:val="20"/>
          <w:color w:val="auto"/>
        </w:rPr>
        <w:tab/>
      </w:r>
      <w:r>
        <w:rPr>
          <w:rFonts w:ascii="Courier New" w:cs="Courier New" w:eastAsia="Courier New" w:hAnsi="Courier New"/>
          <w:sz w:val="14"/>
          <w:szCs w:val="14"/>
          <w:color w:val="auto"/>
        </w:rPr>
        <w:t>16</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5K.</w:t>
        <w:tab/>
        <w:t>Payment of Taxes and Claims</w:t>
      </w:r>
      <w:r>
        <w:rPr>
          <w:sz w:val="20"/>
          <w:szCs w:val="20"/>
          <w:color w:val="auto"/>
        </w:rPr>
        <w:tab/>
      </w:r>
      <w:r>
        <w:rPr>
          <w:rFonts w:ascii="Courier New" w:cs="Courier New" w:eastAsia="Courier New" w:hAnsi="Courier New"/>
          <w:sz w:val="14"/>
          <w:szCs w:val="14"/>
          <w:color w:val="auto"/>
        </w:rPr>
        <w:t>17</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5L.</w:t>
        <w:tab/>
        <w:t>Intercreditor Agreement</w:t>
      </w:r>
      <w:r>
        <w:rPr>
          <w:sz w:val="20"/>
          <w:szCs w:val="20"/>
          <w:color w:val="auto"/>
        </w:rPr>
        <w:tab/>
      </w:r>
      <w:r>
        <w:rPr>
          <w:rFonts w:ascii="Courier New" w:cs="Courier New" w:eastAsia="Courier New" w:hAnsi="Courier New"/>
          <w:sz w:val="14"/>
          <w:szCs w:val="14"/>
          <w:color w:val="auto"/>
        </w:rPr>
        <w:t>17</w:t>
      </w:r>
    </w:p>
    <w:p>
      <w:pPr>
        <w:spacing w:after="0" w:line="170" w:lineRule="exact"/>
        <w:rPr>
          <w:sz w:val="20"/>
          <w:szCs w:val="20"/>
          <w:color w:val="auto"/>
        </w:rPr>
      </w:pPr>
    </w:p>
    <w:p>
      <w:pPr>
        <w:spacing w:after="0"/>
        <w:tabs>
          <w:tab w:leader="none" w:pos="760" w:val="left"/>
          <w:tab w:leader="dot" w:pos="930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NEGATIVE COVENANTS</w:t>
      </w:r>
      <w:r>
        <w:rPr>
          <w:sz w:val="20"/>
          <w:szCs w:val="20"/>
          <w:color w:val="auto"/>
        </w:rPr>
        <w:tab/>
      </w:r>
      <w:r>
        <w:rPr>
          <w:rFonts w:ascii="Courier New" w:cs="Courier New" w:eastAsia="Courier New" w:hAnsi="Courier New"/>
          <w:sz w:val="14"/>
          <w:szCs w:val="14"/>
          <w:color w:val="auto"/>
        </w:rPr>
        <w:t>17</w:t>
      </w:r>
    </w:p>
    <w:p>
      <w:pPr>
        <w:spacing w:after="0" w:line="170"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6A.</w:t>
        <w:tab/>
        <w:t>Financial Limitation</w:t>
      </w:r>
      <w:r>
        <w:rPr>
          <w:sz w:val="20"/>
          <w:szCs w:val="20"/>
          <w:color w:val="auto"/>
        </w:rPr>
        <w:tab/>
      </w:r>
      <w:r>
        <w:rPr>
          <w:rFonts w:ascii="Courier New" w:cs="Courier New" w:eastAsia="Courier New" w:hAnsi="Courier New"/>
          <w:sz w:val="14"/>
          <w:szCs w:val="14"/>
          <w:color w:val="auto"/>
        </w:rPr>
        <w:t>17</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6B.</w:t>
        <w:tab/>
        <w:t>Liens, Debt and Other Restrictions</w:t>
      </w:r>
      <w:r>
        <w:rPr>
          <w:sz w:val="20"/>
          <w:szCs w:val="20"/>
          <w:color w:val="auto"/>
        </w:rPr>
        <w:tab/>
      </w:r>
      <w:r>
        <w:rPr>
          <w:rFonts w:ascii="Courier New" w:cs="Courier New" w:eastAsia="Courier New" w:hAnsi="Courier New"/>
          <w:sz w:val="14"/>
          <w:szCs w:val="14"/>
          <w:color w:val="auto"/>
        </w:rPr>
        <w:t>18</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6C.</w:t>
        <w:tab/>
        <w:t>Sale of Assets</w:t>
      </w:r>
      <w:r>
        <w:rPr>
          <w:sz w:val="20"/>
          <w:szCs w:val="20"/>
          <w:color w:val="auto"/>
        </w:rPr>
        <w:tab/>
      </w:r>
      <w:r>
        <w:rPr>
          <w:rFonts w:ascii="Courier New" w:cs="Courier New" w:eastAsia="Courier New" w:hAnsi="Courier New"/>
          <w:sz w:val="14"/>
          <w:szCs w:val="14"/>
          <w:color w:val="auto"/>
        </w:rPr>
        <w:t>21</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6D.</w:t>
        <w:tab/>
        <w:t>Subsidiary Stock and Debt</w:t>
      </w:r>
      <w:r>
        <w:rPr>
          <w:sz w:val="20"/>
          <w:szCs w:val="20"/>
          <w:color w:val="auto"/>
        </w:rPr>
        <w:tab/>
      </w:r>
      <w:r>
        <w:rPr>
          <w:rFonts w:ascii="Courier New" w:cs="Courier New" w:eastAsia="Courier New" w:hAnsi="Courier New"/>
          <w:sz w:val="14"/>
          <w:szCs w:val="14"/>
          <w:color w:val="auto"/>
        </w:rPr>
        <w:t>22</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6E.</w:t>
        <w:tab/>
        <w:t>Sale of Receivables</w:t>
      </w:r>
      <w:r>
        <w:rPr>
          <w:sz w:val="20"/>
          <w:szCs w:val="20"/>
          <w:color w:val="auto"/>
        </w:rPr>
        <w:tab/>
      </w:r>
      <w:r>
        <w:rPr>
          <w:rFonts w:ascii="Courier New" w:cs="Courier New" w:eastAsia="Courier New" w:hAnsi="Courier New"/>
          <w:sz w:val="14"/>
          <w:szCs w:val="14"/>
          <w:color w:val="auto"/>
        </w:rPr>
        <w:t>22</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6F.</w:t>
        <w:tab/>
        <w:t>ERISA</w:t>
      </w:r>
      <w:r>
        <w:rPr>
          <w:sz w:val="20"/>
          <w:szCs w:val="20"/>
          <w:color w:val="auto"/>
        </w:rPr>
        <w:tab/>
      </w:r>
      <w:r>
        <w:rPr>
          <w:rFonts w:ascii="Courier New" w:cs="Courier New" w:eastAsia="Courier New" w:hAnsi="Courier New"/>
          <w:sz w:val="14"/>
          <w:szCs w:val="14"/>
          <w:color w:val="auto"/>
        </w:rPr>
        <w:t>22</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6G.</w:t>
        <w:tab/>
        <w:t>Environmental Matters</w:t>
      </w:r>
      <w:r>
        <w:rPr>
          <w:sz w:val="20"/>
          <w:szCs w:val="20"/>
          <w:color w:val="auto"/>
        </w:rPr>
        <w:tab/>
      </w:r>
      <w:r>
        <w:rPr>
          <w:rFonts w:ascii="Courier New" w:cs="Courier New" w:eastAsia="Courier New" w:hAnsi="Courier New"/>
          <w:sz w:val="14"/>
          <w:szCs w:val="14"/>
          <w:color w:val="auto"/>
        </w:rPr>
        <w:t>23</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6H.</w:t>
        <w:tab/>
        <w:t>Specified Laws</w:t>
      </w:r>
      <w:r>
        <w:rPr>
          <w:sz w:val="20"/>
          <w:szCs w:val="20"/>
          <w:color w:val="auto"/>
        </w:rPr>
        <w:tab/>
      </w:r>
      <w:r>
        <w:rPr>
          <w:rFonts w:ascii="Courier New" w:cs="Courier New" w:eastAsia="Courier New" w:hAnsi="Courier New"/>
          <w:sz w:val="14"/>
          <w:szCs w:val="14"/>
          <w:color w:val="auto"/>
        </w:rPr>
        <w:t>23</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6I.</w:t>
        <w:tab/>
        <w:t>Business Activities</w:t>
      </w:r>
      <w:r>
        <w:rPr>
          <w:sz w:val="20"/>
          <w:szCs w:val="20"/>
          <w:color w:val="auto"/>
        </w:rPr>
        <w:tab/>
      </w:r>
      <w:r>
        <w:rPr>
          <w:rFonts w:ascii="Courier New" w:cs="Courier New" w:eastAsia="Courier New" w:hAnsi="Courier New"/>
          <w:sz w:val="14"/>
          <w:szCs w:val="14"/>
          <w:color w:val="auto"/>
        </w:rPr>
        <w:t>23</w:t>
      </w:r>
    </w:p>
    <w:p>
      <w:pPr>
        <w:spacing w:after="0" w:line="170" w:lineRule="exact"/>
        <w:rPr>
          <w:sz w:val="20"/>
          <w:szCs w:val="20"/>
          <w:color w:val="auto"/>
        </w:rPr>
      </w:pPr>
    </w:p>
    <w:p>
      <w:pPr>
        <w:spacing w:after="0"/>
        <w:tabs>
          <w:tab w:leader="none" w:pos="760" w:val="left"/>
          <w:tab w:leader="dot" w:pos="930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EVENTS OF DEFAULT</w:t>
      </w:r>
      <w:r>
        <w:rPr>
          <w:sz w:val="20"/>
          <w:szCs w:val="20"/>
          <w:color w:val="auto"/>
        </w:rPr>
        <w:tab/>
      </w:r>
      <w:r>
        <w:rPr>
          <w:rFonts w:ascii="Courier New" w:cs="Courier New" w:eastAsia="Courier New" w:hAnsi="Courier New"/>
          <w:sz w:val="14"/>
          <w:szCs w:val="14"/>
          <w:color w:val="auto"/>
        </w:rPr>
        <w:t>23</w:t>
      </w:r>
    </w:p>
    <w:p>
      <w:pPr>
        <w:spacing w:after="0" w:line="170"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7A.</w:t>
        <w:tab/>
        <w:t>Acceleration</w:t>
      </w:r>
      <w:r>
        <w:rPr>
          <w:sz w:val="20"/>
          <w:szCs w:val="20"/>
          <w:color w:val="auto"/>
        </w:rPr>
        <w:tab/>
      </w:r>
      <w:r>
        <w:rPr>
          <w:rFonts w:ascii="Courier New" w:cs="Courier New" w:eastAsia="Courier New" w:hAnsi="Courier New"/>
          <w:sz w:val="14"/>
          <w:szCs w:val="14"/>
          <w:color w:val="auto"/>
        </w:rPr>
        <w:t>23</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7B.</w:t>
        <w:tab/>
        <w:t>Rescission of Acceleration</w:t>
      </w:r>
      <w:r>
        <w:rPr>
          <w:sz w:val="20"/>
          <w:szCs w:val="20"/>
          <w:color w:val="auto"/>
        </w:rPr>
        <w:tab/>
      </w:r>
      <w:r>
        <w:rPr>
          <w:rFonts w:ascii="Courier New" w:cs="Courier New" w:eastAsia="Courier New" w:hAnsi="Courier New"/>
          <w:sz w:val="14"/>
          <w:szCs w:val="14"/>
          <w:color w:val="auto"/>
        </w:rPr>
        <w:t>26</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7C.</w:t>
        <w:tab/>
        <w:t>Notice of Acceleration or Rescission</w:t>
      </w:r>
      <w:r>
        <w:rPr>
          <w:sz w:val="20"/>
          <w:szCs w:val="20"/>
          <w:color w:val="auto"/>
        </w:rPr>
        <w:tab/>
      </w:r>
      <w:r>
        <w:rPr>
          <w:rFonts w:ascii="Courier New" w:cs="Courier New" w:eastAsia="Courier New" w:hAnsi="Courier New"/>
          <w:sz w:val="14"/>
          <w:szCs w:val="14"/>
          <w:color w:val="auto"/>
        </w:rPr>
        <w:t>26</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7D.</w:t>
        <w:tab/>
        <w:t>Other Remedies</w:t>
      </w:r>
      <w:r>
        <w:rPr>
          <w:sz w:val="20"/>
          <w:szCs w:val="20"/>
          <w:color w:val="auto"/>
        </w:rPr>
        <w:tab/>
      </w:r>
      <w:r>
        <w:rPr>
          <w:rFonts w:ascii="Courier New" w:cs="Courier New" w:eastAsia="Courier New" w:hAnsi="Courier New"/>
          <w:sz w:val="14"/>
          <w:szCs w:val="14"/>
          <w:color w:val="auto"/>
        </w:rPr>
        <w:t>27</w:t>
      </w:r>
    </w:p>
    <w:p>
      <w:pPr>
        <w:spacing w:after="0" w:line="170" w:lineRule="exact"/>
        <w:rPr>
          <w:sz w:val="20"/>
          <w:szCs w:val="20"/>
          <w:color w:val="auto"/>
        </w:rPr>
      </w:pPr>
    </w:p>
    <w:p>
      <w:pPr>
        <w:spacing w:after="0"/>
        <w:tabs>
          <w:tab w:leader="none" w:pos="760" w:val="left"/>
          <w:tab w:leader="dot" w:pos="930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REPRESENTATIONS, COVENANTS AND WARRANTIES</w:t>
      </w:r>
      <w:r>
        <w:rPr>
          <w:sz w:val="20"/>
          <w:szCs w:val="20"/>
          <w:color w:val="auto"/>
        </w:rPr>
        <w:tab/>
      </w:r>
      <w:r>
        <w:rPr>
          <w:rFonts w:ascii="Courier New" w:cs="Courier New" w:eastAsia="Courier New" w:hAnsi="Courier New"/>
          <w:sz w:val="14"/>
          <w:szCs w:val="14"/>
          <w:color w:val="auto"/>
        </w:rPr>
        <w:t>27</w:t>
      </w:r>
    </w:p>
    <w:p>
      <w:pPr>
        <w:spacing w:after="0" w:line="170"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8A.</w:t>
        <w:tab/>
        <w:t>Organization</w:t>
      </w:r>
      <w:r>
        <w:rPr>
          <w:sz w:val="20"/>
          <w:szCs w:val="20"/>
          <w:color w:val="auto"/>
        </w:rPr>
        <w:tab/>
      </w:r>
      <w:r>
        <w:rPr>
          <w:rFonts w:ascii="Courier New" w:cs="Courier New" w:eastAsia="Courier New" w:hAnsi="Courier New"/>
          <w:sz w:val="14"/>
          <w:szCs w:val="14"/>
          <w:color w:val="auto"/>
        </w:rPr>
        <w:t>27</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8B.</w:t>
        <w:tab/>
        <w:t>Financial Statements</w:t>
      </w:r>
      <w:r>
        <w:rPr>
          <w:sz w:val="20"/>
          <w:szCs w:val="20"/>
          <w:color w:val="auto"/>
        </w:rPr>
        <w:tab/>
      </w:r>
      <w:r>
        <w:rPr>
          <w:rFonts w:ascii="Courier New" w:cs="Courier New" w:eastAsia="Courier New" w:hAnsi="Courier New"/>
          <w:sz w:val="14"/>
          <w:szCs w:val="14"/>
          <w:color w:val="auto"/>
        </w:rPr>
        <w:t>27</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8C.</w:t>
        <w:tab/>
        <w:t>Actions Pending</w:t>
      </w:r>
      <w:r>
        <w:rPr>
          <w:sz w:val="20"/>
          <w:szCs w:val="20"/>
          <w:color w:val="auto"/>
        </w:rPr>
        <w:tab/>
      </w:r>
      <w:r>
        <w:rPr>
          <w:rFonts w:ascii="Courier New" w:cs="Courier New" w:eastAsia="Courier New" w:hAnsi="Courier New"/>
          <w:sz w:val="14"/>
          <w:szCs w:val="14"/>
          <w:color w:val="auto"/>
        </w:rPr>
        <w:t>28</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8D.</w:t>
        <w:tab/>
        <w:t>Outstanding Debt</w:t>
      </w:r>
      <w:r>
        <w:rPr>
          <w:sz w:val="20"/>
          <w:szCs w:val="20"/>
          <w:color w:val="auto"/>
        </w:rPr>
        <w:tab/>
      </w:r>
      <w:r>
        <w:rPr>
          <w:rFonts w:ascii="Courier New" w:cs="Courier New" w:eastAsia="Courier New" w:hAnsi="Courier New"/>
          <w:sz w:val="14"/>
          <w:szCs w:val="14"/>
          <w:color w:val="auto"/>
        </w:rPr>
        <w:t>28</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8E.</w:t>
        <w:tab/>
        <w:t>Title to Properties</w:t>
      </w:r>
      <w:r>
        <w:rPr>
          <w:sz w:val="20"/>
          <w:szCs w:val="20"/>
          <w:color w:val="auto"/>
        </w:rPr>
        <w:tab/>
      </w:r>
      <w:r>
        <w:rPr>
          <w:rFonts w:ascii="Courier New" w:cs="Courier New" w:eastAsia="Courier New" w:hAnsi="Courier New"/>
          <w:sz w:val="14"/>
          <w:szCs w:val="14"/>
          <w:color w:val="auto"/>
        </w:rPr>
        <w:t>28</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8F.</w:t>
        <w:tab/>
        <w:t>Taxes</w:t>
      </w:r>
      <w:r>
        <w:rPr>
          <w:sz w:val="20"/>
          <w:szCs w:val="20"/>
          <w:color w:val="auto"/>
        </w:rPr>
        <w:tab/>
      </w:r>
      <w:r>
        <w:rPr>
          <w:rFonts w:ascii="Courier New" w:cs="Courier New" w:eastAsia="Courier New" w:hAnsi="Courier New"/>
          <w:sz w:val="14"/>
          <w:szCs w:val="14"/>
          <w:color w:val="auto"/>
        </w:rPr>
        <w:t>28</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8G.</w:t>
        <w:tab/>
        <w:t>Conflicting Agreements and Other Matters</w:t>
      </w:r>
      <w:r>
        <w:rPr>
          <w:sz w:val="20"/>
          <w:szCs w:val="20"/>
          <w:color w:val="auto"/>
        </w:rPr>
        <w:tab/>
      </w:r>
      <w:r>
        <w:rPr>
          <w:rFonts w:ascii="Courier New" w:cs="Courier New" w:eastAsia="Courier New" w:hAnsi="Courier New"/>
          <w:sz w:val="14"/>
          <w:szCs w:val="14"/>
          <w:color w:val="auto"/>
        </w:rPr>
        <w:t>29</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8H.</w:t>
        <w:tab/>
        <w:t>Offering of Notes</w:t>
      </w:r>
      <w:r>
        <w:rPr>
          <w:sz w:val="20"/>
          <w:szCs w:val="20"/>
          <w:color w:val="auto"/>
        </w:rPr>
        <w:tab/>
      </w:r>
      <w:r>
        <w:rPr>
          <w:rFonts w:ascii="Courier New" w:cs="Courier New" w:eastAsia="Courier New" w:hAnsi="Courier New"/>
          <w:sz w:val="14"/>
          <w:szCs w:val="14"/>
          <w:color w:val="auto"/>
        </w:rPr>
        <w:t>29</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8I.</w:t>
        <w:tab/>
        <w:t>Use of Proceeds</w:t>
      </w:r>
      <w:r>
        <w:rPr>
          <w:sz w:val="20"/>
          <w:szCs w:val="20"/>
          <w:color w:val="auto"/>
        </w:rPr>
        <w:tab/>
      </w:r>
      <w:r>
        <w:rPr>
          <w:rFonts w:ascii="Courier New" w:cs="Courier New" w:eastAsia="Courier New" w:hAnsi="Courier New"/>
          <w:sz w:val="14"/>
          <w:szCs w:val="14"/>
          <w:color w:val="auto"/>
        </w:rPr>
        <w:t>29</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8J.</w:t>
        <w:tab/>
        <w:t>ERISA</w:t>
      </w:r>
      <w:r>
        <w:rPr>
          <w:sz w:val="20"/>
          <w:szCs w:val="20"/>
          <w:color w:val="auto"/>
        </w:rPr>
        <w:tab/>
      </w:r>
      <w:r>
        <w:rPr>
          <w:rFonts w:ascii="Courier New" w:cs="Courier New" w:eastAsia="Courier New" w:hAnsi="Courier New"/>
          <w:sz w:val="14"/>
          <w:szCs w:val="14"/>
          <w:color w:val="auto"/>
        </w:rPr>
        <w:t>30</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8K.</w:t>
        <w:tab/>
        <w:t>Governmental Consent</w:t>
      </w:r>
      <w:r>
        <w:rPr>
          <w:sz w:val="20"/>
          <w:szCs w:val="20"/>
          <w:color w:val="auto"/>
        </w:rPr>
        <w:tab/>
      </w:r>
      <w:r>
        <w:rPr>
          <w:rFonts w:ascii="Courier New" w:cs="Courier New" w:eastAsia="Courier New" w:hAnsi="Courier New"/>
          <w:sz w:val="14"/>
          <w:szCs w:val="14"/>
          <w:color w:val="auto"/>
        </w:rPr>
        <w:t>30</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8L.</w:t>
        <w:tab/>
        <w:t>Environmental Compliance</w:t>
      </w:r>
      <w:r>
        <w:rPr>
          <w:sz w:val="20"/>
          <w:szCs w:val="20"/>
          <w:color w:val="auto"/>
        </w:rPr>
        <w:tab/>
      </w:r>
      <w:r>
        <w:rPr>
          <w:rFonts w:ascii="Courier New" w:cs="Courier New" w:eastAsia="Courier New" w:hAnsi="Courier New"/>
          <w:sz w:val="14"/>
          <w:szCs w:val="14"/>
          <w:color w:val="auto"/>
        </w:rPr>
        <w:t>30</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8M.</w:t>
        <w:tab/>
        <w:t>Disclosure</w:t>
      </w:r>
      <w:r>
        <w:rPr>
          <w:sz w:val="20"/>
          <w:szCs w:val="20"/>
          <w:color w:val="auto"/>
        </w:rPr>
        <w:tab/>
      </w:r>
      <w:r>
        <w:rPr>
          <w:rFonts w:ascii="Courier New" w:cs="Courier New" w:eastAsia="Courier New" w:hAnsi="Courier New"/>
          <w:sz w:val="14"/>
          <w:szCs w:val="14"/>
          <w:color w:val="auto"/>
        </w:rPr>
        <w:t>31</w:t>
      </w:r>
    </w:p>
    <w:p>
      <w:pPr>
        <w:spacing w:after="0" w:line="170" w:lineRule="exact"/>
        <w:rPr>
          <w:sz w:val="20"/>
          <w:szCs w:val="20"/>
          <w:color w:val="auto"/>
        </w:rPr>
      </w:pPr>
    </w:p>
    <w:p>
      <w:pPr>
        <w:spacing w:after="0"/>
        <w:tabs>
          <w:tab w:leader="none" w:pos="760" w:val="left"/>
          <w:tab w:leader="dot" w:pos="930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REPRESENTATIONS OF THE PURCHASERS</w:t>
      </w:r>
      <w:r>
        <w:rPr>
          <w:sz w:val="20"/>
          <w:szCs w:val="20"/>
          <w:color w:val="auto"/>
        </w:rPr>
        <w:tab/>
      </w:r>
      <w:r>
        <w:rPr>
          <w:rFonts w:ascii="Courier New" w:cs="Courier New" w:eastAsia="Courier New" w:hAnsi="Courier New"/>
          <w:sz w:val="14"/>
          <w:szCs w:val="14"/>
          <w:color w:val="auto"/>
        </w:rPr>
        <w:t>31</w:t>
      </w:r>
    </w:p>
    <w:p>
      <w:pPr>
        <w:spacing w:after="0" w:line="170"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9A.</w:t>
        <w:tab/>
        <w:t>Nature of Purchase</w:t>
      </w:r>
      <w:r>
        <w:rPr>
          <w:sz w:val="20"/>
          <w:szCs w:val="20"/>
          <w:color w:val="auto"/>
        </w:rPr>
        <w:tab/>
      </w:r>
      <w:r>
        <w:rPr>
          <w:rFonts w:ascii="Courier New" w:cs="Courier New" w:eastAsia="Courier New" w:hAnsi="Courier New"/>
          <w:sz w:val="14"/>
          <w:szCs w:val="14"/>
          <w:color w:val="auto"/>
        </w:rPr>
        <w:t>31</w:t>
      </w:r>
    </w:p>
    <w:p>
      <w:pPr>
        <w:spacing w:after="0" w:line="6" w:lineRule="exact"/>
        <w:rPr>
          <w:sz w:val="20"/>
          <w:szCs w:val="20"/>
          <w:color w:val="auto"/>
        </w:rPr>
      </w:pPr>
    </w:p>
    <w:p>
      <w:pPr>
        <w:ind w:left="780"/>
        <w:spacing w:after="0"/>
        <w:tabs>
          <w:tab w:leader="none" w:pos="1180" w:val="left"/>
          <w:tab w:leader="dot" w:pos="9300" w:val="left"/>
        </w:tabs>
        <w:rPr>
          <w:sz w:val="20"/>
          <w:szCs w:val="20"/>
          <w:color w:val="auto"/>
        </w:rPr>
      </w:pPr>
      <w:r>
        <w:rPr>
          <w:rFonts w:ascii="Courier New" w:cs="Courier New" w:eastAsia="Courier New" w:hAnsi="Courier New"/>
          <w:sz w:val="14"/>
          <w:szCs w:val="14"/>
          <w:color w:val="auto"/>
        </w:rPr>
        <w:t>9B.</w:t>
        <w:tab/>
        <w:t>Source of Funds</w:t>
      </w:r>
      <w:r>
        <w:rPr>
          <w:sz w:val="20"/>
          <w:szCs w:val="20"/>
          <w:color w:val="auto"/>
        </w:rPr>
        <w:tab/>
      </w:r>
      <w:r>
        <w:rPr>
          <w:rFonts w:ascii="Courier New" w:cs="Courier New" w:eastAsia="Courier New" w:hAnsi="Courier New"/>
          <w:sz w:val="14"/>
          <w:szCs w:val="14"/>
          <w:color w:val="auto"/>
        </w:rPr>
        <w:t>32</w:t>
      </w:r>
    </w:p>
    <w:p>
      <w:pPr>
        <w:spacing w:after="0" w:line="170" w:lineRule="exact"/>
        <w:rPr>
          <w:sz w:val="20"/>
          <w:szCs w:val="20"/>
          <w:color w:val="auto"/>
        </w:rPr>
      </w:pPr>
    </w:p>
    <w:p>
      <w:pPr>
        <w:spacing w:after="0"/>
        <w:tabs>
          <w:tab w:leader="none" w:pos="760" w:val="left"/>
          <w:tab w:leader="dot" w:pos="930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DEFINITIONS; ACCOUNTING MATTERS</w:t>
      </w:r>
      <w:r>
        <w:rPr>
          <w:sz w:val="20"/>
          <w:szCs w:val="20"/>
          <w:color w:val="auto"/>
        </w:rPr>
        <w:tab/>
      </w:r>
      <w:r>
        <w:rPr>
          <w:rFonts w:ascii="Courier New" w:cs="Courier New" w:eastAsia="Courier New" w:hAnsi="Courier New"/>
          <w:sz w:val="14"/>
          <w:szCs w:val="14"/>
          <w:color w:val="auto"/>
        </w:rPr>
        <w:t>33</w:t>
      </w:r>
    </w:p>
    <w:p>
      <w:pPr>
        <w:spacing w:after="0" w:line="170"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10A. Yield-Maintenance Terms</w:t>
      </w:r>
      <w:r>
        <w:rPr>
          <w:sz w:val="20"/>
          <w:szCs w:val="20"/>
          <w:color w:val="auto"/>
        </w:rPr>
        <w:tab/>
      </w:r>
      <w:r>
        <w:rPr>
          <w:rFonts w:ascii="Courier New" w:cs="Courier New" w:eastAsia="Courier New" w:hAnsi="Courier New"/>
          <w:sz w:val="14"/>
          <w:szCs w:val="14"/>
          <w:color w:val="auto"/>
        </w:rPr>
        <w:t>33</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10B. Other Terms</w:t>
      </w:r>
      <w:r>
        <w:rPr>
          <w:sz w:val="20"/>
          <w:szCs w:val="20"/>
          <w:color w:val="auto"/>
        </w:rPr>
        <w:tab/>
      </w:r>
      <w:r>
        <w:rPr>
          <w:rFonts w:ascii="Courier New" w:cs="Courier New" w:eastAsia="Courier New" w:hAnsi="Courier New"/>
          <w:sz w:val="14"/>
          <w:szCs w:val="14"/>
          <w:color w:val="auto"/>
        </w:rPr>
        <w:t>34</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10C. Accounting Principles, Terms and Determinations</w:t>
      </w:r>
      <w:r>
        <w:rPr>
          <w:sz w:val="20"/>
          <w:szCs w:val="20"/>
          <w:color w:val="auto"/>
        </w:rPr>
        <w:tab/>
      </w:r>
      <w:r>
        <w:rPr>
          <w:rFonts w:ascii="Courier New" w:cs="Courier New" w:eastAsia="Courier New" w:hAnsi="Courier New"/>
          <w:sz w:val="14"/>
          <w:szCs w:val="14"/>
          <w:color w:val="auto"/>
        </w:rPr>
        <w:t>45</w:t>
      </w:r>
    </w:p>
    <w:p>
      <w:pPr>
        <w:spacing w:after="0" w:line="200" w:lineRule="exact"/>
        <w:rPr>
          <w:sz w:val="20"/>
          <w:szCs w:val="20"/>
          <w:color w:val="auto"/>
        </w:rPr>
      </w:pPr>
    </w:p>
    <w:p>
      <w:pPr>
        <w:spacing w:after="0" w:line="29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159"/>
          </w:cols>
          <w:pgMar w:left="300" w:top="941" w:right="1440" w:bottom="1440" w:gutter="0" w:footer="0" w:header="0"/>
        </w:sectPr>
      </w:pPr>
    </w:p>
    <w:bookmarkStart w:id="74" w:name="page75"/>
    <w:bookmarkEnd w:id="74"/>
    <w:p>
      <w:pPr>
        <w:spacing w:after="0"/>
        <w:tabs>
          <w:tab w:leader="none" w:pos="760" w:val="left"/>
          <w:tab w:leader="dot" w:pos="93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4"/>
          <w:szCs w:val="14"/>
          <w:color w:val="auto"/>
        </w:rPr>
        <w:t>45</w:t>
      </w:r>
    </w:p>
    <w:p>
      <w:pPr>
        <w:spacing w:after="0" w:line="170"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11A. Payments</w:t>
      </w:r>
      <w:r>
        <w:rPr>
          <w:sz w:val="20"/>
          <w:szCs w:val="20"/>
          <w:color w:val="auto"/>
        </w:rPr>
        <w:tab/>
      </w:r>
      <w:r>
        <w:rPr>
          <w:rFonts w:ascii="Courier New" w:cs="Courier New" w:eastAsia="Courier New" w:hAnsi="Courier New"/>
          <w:sz w:val="14"/>
          <w:szCs w:val="14"/>
          <w:color w:val="auto"/>
        </w:rPr>
        <w:t>45</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11B. Expenses</w:t>
      </w:r>
      <w:r>
        <w:rPr>
          <w:sz w:val="20"/>
          <w:szCs w:val="20"/>
          <w:color w:val="auto"/>
        </w:rPr>
        <w:tab/>
      </w:r>
      <w:r>
        <w:rPr>
          <w:rFonts w:ascii="Courier New" w:cs="Courier New" w:eastAsia="Courier New" w:hAnsi="Courier New"/>
          <w:sz w:val="14"/>
          <w:szCs w:val="14"/>
          <w:color w:val="auto"/>
        </w:rPr>
        <w:t>46</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11C. Consent to Amendments</w:t>
      </w:r>
      <w:r>
        <w:rPr>
          <w:sz w:val="20"/>
          <w:szCs w:val="20"/>
          <w:color w:val="auto"/>
        </w:rPr>
        <w:tab/>
      </w:r>
      <w:r>
        <w:rPr>
          <w:rFonts w:ascii="Courier New" w:cs="Courier New" w:eastAsia="Courier New" w:hAnsi="Courier New"/>
          <w:sz w:val="14"/>
          <w:szCs w:val="14"/>
          <w:color w:val="auto"/>
        </w:rPr>
        <w:t>47</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11D. Form and Registration; Transfer and Exchange; Transfer Restrictions; Lost Notes</w:t>
      </w:r>
      <w:r>
        <w:rPr>
          <w:sz w:val="20"/>
          <w:szCs w:val="20"/>
          <w:color w:val="auto"/>
        </w:rPr>
        <w:tab/>
      </w:r>
      <w:r>
        <w:rPr>
          <w:rFonts w:ascii="Courier New" w:cs="Courier New" w:eastAsia="Courier New" w:hAnsi="Courier New"/>
          <w:sz w:val="14"/>
          <w:szCs w:val="14"/>
          <w:color w:val="auto"/>
        </w:rPr>
        <w:t>47</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11E. Persons Deemed Owners; Participations</w:t>
      </w:r>
      <w:r>
        <w:rPr>
          <w:sz w:val="20"/>
          <w:szCs w:val="20"/>
          <w:color w:val="auto"/>
        </w:rPr>
        <w:tab/>
      </w:r>
      <w:r>
        <w:rPr>
          <w:rFonts w:ascii="Courier New" w:cs="Courier New" w:eastAsia="Courier New" w:hAnsi="Courier New"/>
          <w:sz w:val="14"/>
          <w:szCs w:val="14"/>
          <w:color w:val="auto"/>
        </w:rPr>
        <w:t>48</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11F. Survival of Representations and Warranties; Entire Agreement</w:t>
      </w:r>
      <w:r>
        <w:rPr>
          <w:sz w:val="20"/>
          <w:szCs w:val="20"/>
          <w:color w:val="auto"/>
        </w:rPr>
        <w:tab/>
      </w:r>
      <w:r>
        <w:rPr>
          <w:rFonts w:ascii="Courier New" w:cs="Courier New" w:eastAsia="Courier New" w:hAnsi="Courier New"/>
          <w:sz w:val="14"/>
          <w:szCs w:val="14"/>
          <w:color w:val="auto"/>
        </w:rPr>
        <w:t>48</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11G. Successors and Assigns</w:t>
      </w:r>
      <w:r>
        <w:rPr>
          <w:sz w:val="20"/>
          <w:szCs w:val="20"/>
          <w:color w:val="auto"/>
        </w:rPr>
        <w:tab/>
      </w:r>
      <w:r>
        <w:rPr>
          <w:rFonts w:ascii="Courier New" w:cs="Courier New" w:eastAsia="Courier New" w:hAnsi="Courier New"/>
          <w:sz w:val="14"/>
          <w:szCs w:val="14"/>
          <w:color w:val="auto"/>
        </w:rPr>
        <w:t>48</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11H. Independence of Covenants</w:t>
      </w:r>
      <w:r>
        <w:rPr>
          <w:sz w:val="20"/>
          <w:szCs w:val="20"/>
          <w:color w:val="auto"/>
        </w:rPr>
        <w:tab/>
      </w:r>
      <w:r>
        <w:rPr>
          <w:rFonts w:ascii="Courier New" w:cs="Courier New" w:eastAsia="Courier New" w:hAnsi="Courier New"/>
          <w:sz w:val="14"/>
          <w:szCs w:val="14"/>
          <w:color w:val="auto"/>
        </w:rPr>
        <w:t>49</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11I. Notices</w:t>
      </w:r>
      <w:r>
        <w:rPr>
          <w:sz w:val="20"/>
          <w:szCs w:val="20"/>
          <w:color w:val="auto"/>
        </w:rPr>
        <w:tab/>
      </w:r>
      <w:r>
        <w:rPr>
          <w:rFonts w:ascii="Courier New" w:cs="Courier New" w:eastAsia="Courier New" w:hAnsi="Courier New"/>
          <w:sz w:val="14"/>
          <w:szCs w:val="14"/>
          <w:color w:val="auto"/>
        </w:rPr>
        <w:t>49</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11J. Payments Due on Non-Business Days</w:t>
      </w:r>
      <w:r>
        <w:rPr>
          <w:sz w:val="20"/>
          <w:szCs w:val="20"/>
          <w:color w:val="auto"/>
        </w:rPr>
        <w:tab/>
      </w:r>
      <w:r>
        <w:rPr>
          <w:rFonts w:ascii="Courier New" w:cs="Courier New" w:eastAsia="Courier New" w:hAnsi="Courier New"/>
          <w:sz w:val="14"/>
          <w:szCs w:val="14"/>
          <w:color w:val="auto"/>
        </w:rPr>
        <w:t>49</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11K. Severability</w:t>
      </w:r>
      <w:r>
        <w:rPr>
          <w:sz w:val="20"/>
          <w:szCs w:val="20"/>
          <w:color w:val="auto"/>
        </w:rPr>
        <w:tab/>
      </w:r>
      <w:r>
        <w:rPr>
          <w:rFonts w:ascii="Courier New" w:cs="Courier New" w:eastAsia="Courier New" w:hAnsi="Courier New"/>
          <w:sz w:val="14"/>
          <w:szCs w:val="14"/>
          <w:color w:val="auto"/>
        </w:rPr>
        <w:t>49</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11L. Descriptive Headings</w:t>
      </w:r>
      <w:r>
        <w:rPr>
          <w:sz w:val="20"/>
          <w:szCs w:val="20"/>
          <w:color w:val="auto"/>
        </w:rPr>
        <w:tab/>
      </w:r>
      <w:r>
        <w:rPr>
          <w:rFonts w:ascii="Courier New" w:cs="Courier New" w:eastAsia="Courier New" w:hAnsi="Courier New"/>
          <w:sz w:val="14"/>
          <w:szCs w:val="14"/>
          <w:color w:val="auto"/>
        </w:rPr>
        <w:t>50</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11M. Satisfaction Requirement</w:t>
      </w:r>
      <w:r>
        <w:rPr>
          <w:sz w:val="20"/>
          <w:szCs w:val="20"/>
          <w:color w:val="auto"/>
        </w:rPr>
        <w:tab/>
      </w:r>
      <w:r>
        <w:rPr>
          <w:rFonts w:ascii="Courier New" w:cs="Courier New" w:eastAsia="Courier New" w:hAnsi="Courier New"/>
          <w:sz w:val="14"/>
          <w:szCs w:val="14"/>
          <w:color w:val="auto"/>
        </w:rPr>
        <w:t>50</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11N. Governing Law; Submission to Jurisdiction</w:t>
      </w:r>
      <w:r>
        <w:rPr>
          <w:sz w:val="20"/>
          <w:szCs w:val="20"/>
          <w:color w:val="auto"/>
        </w:rPr>
        <w:tab/>
      </w:r>
      <w:r>
        <w:rPr>
          <w:rFonts w:ascii="Courier New" w:cs="Courier New" w:eastAsia="Courier New" w:hAnsi="Courier New"/>
          <w:sz w:val="14"/>
          <w:szCs w:val="14"/>
          <w:color w:val="auto"/>
        </w:rPr>
        <w:t>50</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11O. Severalty of Obligations</w:t>
      </w:r>
      <w:r>
        <w:rPr>
          <w:sz w:val="20"/>
          <w:szCs w:val="20"/>
          <w:color w:val="auto"/>
        </w:rPr>
        <w:tab/>
      </w:r>
      <w:r>
        <w:rPr>
          <w:rFonts w:ascii="Courier New" w:cs="Courier New" w:eastAsia="Courier New" w:hAnsi="Courier New"/>
          <w:sz w:val="14"/>
          <w:szCs w:val="14"/>
          <w:color w:val="auto"/>
        </w:rPr>
        <w:t>50</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11P. Counterparts</w:t>
      </w:r>
      <w:r>
        <w:rPr>
          <w:sz w:val="20"/>
          <w:szCs w:val="20"/>
          <w:color w:val="auto"/>
        </w:rPr>
        <w:tab/>
      </w:r>
      <w:r>
        <w:rPr>
          <w:rFonts w:ascii="Courier New" w:cs="Courier New" w:eastAsia="Courier New" w:hAnsi="Courier New"/>
          <w:sz w:val="14"/>
          <w:szCs w:val="14"/>
          <w:color w:val="auto"/>
        </w:rPr>
        <w:t>50</w:t>
      </w:r>
    </w:p>
    <w:p>
      <w:pPr>
        <w:spacing w:after="0" w:line="6" w:lineRule="exact"/>
        <w:rPr>
          <w:sz w:val="20"/>
          <w:szCs w:val="20"/>
          <w:color w:val="auto"/>
        </w:rPr>
      </w:pPr>
    </w:p>
    <w:p>
      <w:pPr>
        <w:ind w:left="780"/>
        <w:spacing w:after="0"/>
        <w:tabs>
          <w:tab w:leader="dot" w:pos="9300" w:val="left"/>
        </w:tabs>
        <w:rPr>
          <w:sz w:val="20"/>
          <w:szCs w:val="20"/>
          <w:color w:val="auto"/>
        </w:rPr>
      </w:pPr>
      <w:r>
        <w:rPr>
          <w:rFonts w:ascii="Courier New" w:cs="Courier New" w:eastAsia="Courier New" w:hAnsi="Courier New"/>
          <w:sz w:val="14"/>
          <w:szCs w:val="14"/>
          <w:color w:val="auto"/>
        </w:rPr>
        <w:t>11Q. Binding Agreement</w:t>
      </w:r>
      <w:r>
        <w:rPr>
          <w:sz w:val="20"/>
          <w:szCs w:val="20"/>
          <w:color w:val="auto"/>
        </w:rPr>
        <w:tab/>
      </w:r>
      <w:r>
        <w:rPr>
          <w:rFonts w:ascii="Courier New" w:cs="Courier New" w:eastAsia="Courier New" w:hAnsi="Courier New"/>
          <w:sz w:val="14"/>
          <w:szCs w:val="14"/>
          <w:color w:val="auto"/>
        </w:rPr>
        <w:t>51</w:t>
      </w:r>
    </w:p>
    <w:p>
      <w:pPr>
        <w:spacing w:after="0" w:line="200" w:lineRule="exact"/>
        <w:rPr>
          <w:sz w:val="20"/>
          <w:szCs w:val="20"/>
          <w:color w:val="auto"/>
        </w:rPr>
      </w:pPr>
    </w:p>
    <w:p>
      <w:pPr>
        <w:spacing w:after="0" w:line="29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159"/>
          </w:cols>
          <w:pgMar w:left="300" w:top="1105"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Purchaser Schedule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Schedule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EXHIBITS</w:t>
            </w:r>
          </w:p>
        </w:tc>
        <w:tc>
          <w:tcPr>
            <w:tcW w:w="420" w:type="dxa"/>
            <w:vAlign w:val="bottom"/>
          </w:tcPr>
          <w:p>
            <w:pPr>
              <w:spacing w:after="0"/>
              <w:rPr>
                <w:sz w:val="13"/>
                <w:szCs w:val="13"/>
                <w:color w:val="auto"/>
              </w:rPr>
            </w:pPr>
          </w:p>
        </w:tc>
        <w:tc>
          <w:tcPr>
            <w:tcW w:w="4960" w:type="dxa"/>
            <w:vAlign w:val="bottom"/>
          </w:tcPr>
          <w:p>
            <w:pPr>
              <w:spacing w:after="0"/>
              <w:rPr>
                <w:sz w:val="13"/>
                <w:szCs w:val="13"/>
                <w:color w:val="auto"/>
              </w:rPr>
            </w:pPr>
          </w:p>
        </w:tc>
      </w:tr>
      <w:tr>
        <w:trPr>
          <w:trHeight w:val="329"/>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Form of Shelf Note</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 B</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Form of Request for Purchase</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 C</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Form of Confirmation of Acceptance</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 D-1</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Form of Opinion of Company Counsel, Initial Closing Day</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 D-2</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Form of Opinion of Florida Counsel to the Company,</w:t>
            </w:r>
          </w:p>
        </w:tc>
      </w:tr>
      <w:tr>
        <w:trPr>
          <w:trHeight w:val="164"/>
        </w:trPr>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60" w:type="dxa"/>
            <w:vAlign w:val="bottom"/>
          </w:tcPr>
          <w:p>
            <w:pPr>
              <w:ind w:left="340"/>
              <w:spacing w:after="0"/>
              <w:rPr>
                <w:sz w:val="20"/>
                <w:szCs w:val="20"/>
                <w:color w:val="auto"/>
              </w:rPr>
            </w:pPr>
            <w:r>
              <w:rPr>
                <w:rFonts w:ascii="Courier New" w:cs="Courier New" w:eastAsia="Courier New" w:hAnsi="Courier New"/>
                <w:sz w:val="14"/>
                <w:szCs w:val="14"/>
                <w:color w:val="auto"/>
              </w:rPr>
              <w:t>Initial Closing Day</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 D-3</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Form of Opinion of Company Counsel, Initial Funding Day</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 D-4</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Form of Opinion of Florida Counsel to the Company,</w:t>
            </w:r>
          </w:p>
        </w:tc>
      </w:tr>
      <w:tr>
        <w:trPr>
          <w:trHeight w:val="164"/>
        </w:trPr>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60" w:type="dxa"/>
            <w:vAlign w:val="bottom"/>
          </w:tcPr>
          <w:p>
            <w:pPr>
              <w:ind w:left="340"/>
              <w:spacing w:after="0"/>
              <w:rPr>
                <w:sz w:val="20"/>
                <w:szCs w:val="20"/>
                <w:color w:val="auto"/>
              </w:rPr>
            </w:pPr>
            <w:r>
              <w:rPr>
                <w:rFonts w:ascii="Courier New" w:cs="Courier New" w:eastAsia="Courier New" w:hAnsi="Courier New"/>
                <w:sz w:val="14"/>
                <w:szCs w:val="14"/>
                <w:color w:val="auto"/>
              </w:rPr>
              <w:t>Initial Funding Day</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 D-5</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Form of Opinion of Company Counsel, Shelf Note Closing</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 D-6</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Form of Opinion of Florida Counsel to the Company, Shelf</w:t>
            </w:r>
          </w:p>
        </w:tc>
      </w:tr>
      <w:tr>
        <w:trPr>
          <w:trHeight w:val="164"/>
        </w:trPr>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60" w:type="dxa"/>
            <w:vAlign w:val="bottom"/>
          </w:tcPr>
          <w:p>
            <w:pPr>
              <w:ind w:left="340"/>
              <w:spacing w:after="0"/>
              <w:rPr>
                <w:sz w:val="20"/>
                <w:szCs w:val="20"/>
                <w:color w:val="auto"/>
              </w:rPr>
            </w:pPr>
            <w:r>
              <w:rPr>
                <w:rFonts w:ascii="Courier New" w:cs="Courier New" w:eastAsia="Courier New" w:hAnsi="Courier New"/>
                <w:sz w:val="14"/>
                <w:szCs w:val="14"/>
                <w:color w:val="auto"/>
              </w:rPr>
              <w:t>Note Closing</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 E</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Form of Guaranty Agreement</w:t>
            </w:r>
          </w:p>
        </w:tc>
      </w:tr>
      <w:tr>
        <w:trPr>
          <w:trHeight w:val="329"/>
        </w:trPr>
        <w:tc>
          <w:tcPr>
            <w:tcW w:w="1380" w:type="dxa"/>
            <w:vAlign w:val="bottom"/>
          </w:tcPr>
          <w:p>
            <w:pPr>
              <w:spacing w:after="0"/>
              <w:rPr>
                <w:sz w:val="20"/>
                <w:szCs w:val="20"/>
                <w:color w:val="auto"/>
              </w:rPr>
            </w:pPr>
            <w:r>
              <w:rPr>
                <w:rFonts w:ascii="Courier New" w:cs="Courier New" w:eastAsia="Courier New" w:hAnsi="Courier New"/>
                <w:sz w:val="14"/>
                <w:szCs w:val="14"/>
                <w:color w:val="auto"/>
              </w:rPr>
              <w:t>SCHEDULES</w:t>
            </w:r>
          </w:p>
        </w:tc>
        <w:tc>
          <w:tcPr>
            <w:tcW w:w="4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9"/>
        </w:trPr>
        <w:tc>
          <w:tcPr>
            <w:tcW w:w="1380" w:type="dxa"/>
            <w:vAlign w:val="bottom"/>
          </w:tcPr>
          <w:p>
            <w:pPr>
              <w:spacing w:after="0"/>
              <w:rPr>
                <w:sz w:val="20"/>
                <w:szCs w:val="20"/>
                <w:color w:val="auto"/>
              </w:rPr>
            </w:pPr>
            <w:r>
              <w:rPr>
                <w:rFonts w:ascii="Courier New" w:cs="Courier New" w:eastAsia="Courier New" w:hAnsi="Courier New"/>
                <w:sz w:val="14"/>
                <w:szCs w:val="14"/>
                <w:color w:val="auto"/>
              </w:rPr>
              <w:t>Schedule 3A</w:t>
            </w:r>
          </w:p>
        </w:tc>
        <w:tc>
          <w:tcPr>
            <w:tcW w:w="420" w:type="dxa"/>
            <w:vAlign w:val="bottom"/>
          </w:tcPr>
          <w:p>
            <w:pPr>
              <w:spacing w:after="0"/>
              <w:rPr>
                <w:sz w:val="24"/>
                <w:szCs w:val="2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Good Standing Certificates</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Schedule 6B(1)</w:t>
            </w:r>
          </w:p>
        </w:tc>
        <w:tc>
          <w:tcPr>
            <w:tcW w:w="42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Permitted Liens</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Schedule 6B(2)</w:t>
            </w:r>
          </w:p>
        </w:tc>
        <w:tc>
          <w:tcPr>
            <w:tcW w:w="42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Outstanding Debt</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Schedule 6B(4)</w:t>
            </w:r>
          </w:p>
        </w:tc>
        <w:tc>
          <w:tcPr>
            <w:tcW w:w="42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Permitted Investments</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Schedule 8A</w:t>
            </w:r>
          </w:p>
        </w:tc>
        <w:tc>
          <w:tcPr>
            <w:tcW w:w="42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Subsidiaries</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Schedule 8C</w:t>
            </w:r>
          </w:p>
        </w:tc>
        <w:tc>
          <w:tcPr>
            <w:tcW w:w="42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Pending Litigation</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Schedule 8D</w:t>
            </w:r>
          </w:p>
        </w:tc>
        <w:tc>
          <w:tcPr>
            <w:tcW w:w="42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Outstanding Debt</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Schedule 8G</w:t>
            </w:r>
          </w:p>
        </w:tc>
        <w:tc>
          <w:tcPr>
            <w:tcW w:w="42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Specified Agreements</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Schedule 8L</w:t>
            </w:r>
          </w:p>
        </w:tc>
        <w:tc>
          <w:tcPr>
            <w:tcW w:w="42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Environmental Compliance</w:t>
            </w:r>
          </w:p>
        </w:tc>
      </w:tr>
      <w:tr>
        <w:trPr>
          <w:trHeight w:val="164"/>
        </w:trPr>
        <w:tc>
          <w:tcPr>
            <w:tcW w:w="1380" w:type="dxa"/>
            <w:vAlign w:val="bottom"/>
          </w:tcPr>
          <w:p>
            <w:pPr>
              <w:spacing w:after="0"/>
              <w:rPr>
                <w:sz w:val="20"/>
                <w:szCs w:val="20"/>
                <w:color w:val="auto"/>
              </w:rPr>
            </w:pPr>
            <w:r>
              <w:rPr>
                <w:rFonts w:ascii="Courier New" w:cs="Courier New" w:eastAsia="Courier New" w:hAnsi="Courier New"/>
                <w:sz w:val="14"/>
                <w:szCs w:val="14"/>
                <w:color w:val="auto"/>
              </w:rPr>
              <w:t>Schedule 10B</w:t>
            </w:r>
          </w:p>
        </w:tc>
        <w:tc>
          <w:tcPr>
            <w:tcW w:w="42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Guarantors</w:t>
            </w:r>
          </w:p>
        </w:tc>
      </w:tr>
      <w:tr>
        <w:trPr>
          <w:trHeight w:val="493"/>
        </w:trPr>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60" w:type="dxa"/>
            <w:vAlign w:val="bottom"/>
          </w:tcPr>
          <w:p>
            <w:pPr>
              <w:ind w:left="1460"/>
              <w:spacing w:after="0"/>
              <w:rPr>
                <w:sz w:val="20"/>
                <w:szCs w:val="20"/>
                <w:color w:val="auto"/>
              </w:rPr>
            </w:pPr>
            <w:r>
              <w:rPr>
                <w:rFonts w:ascii="Courier New" w:cs="Courier New" w:eastAsia="Courier New" w:hAnsi="Courier New"/>
                <w:sz w:val="14"/>
                <w:szCs w:val="14"/>
                <w:color w:val="auto"/>
              </w:rPr>
              <w:t>-iv-</w:t>
            </w:r>
          </w:p>
        </w:tc>
      </w:tr>
    </w:tbl>
    <w:p>
      <w:pPr>
        <w:sectPr>
          <w:pgSz w:w="11900" w:h="16838" w:orient="portrait"/>
          <w:cols w:equalWidth="0" w:num="1">
            <w:col w:w="10159"/>
          </w:cols>
          <w:pgMar w:left="300" w:top="777" w:right="1440" w:bottom="1440" w:gutter="0" w:footer="0" w:header="0"/>
        </w:sectPr>
      </w:pPr>
    </w:p>
    <w:bookmarkStart w:id="76" w:name="page77"/>
    <w:bookmarkEnd w:id="76"/>
    <w:p>
      <w:pPr>
        <w:jc w:val="center"/>
        <w:ind w:right="3319"/>
        <w:spacing w:after="0"/>
        <w:rPr>
          <w:sz w:val="20"/>
          <w:szCs w:val="20"/>
          <w:color w:val="auto"/>
        </w:rPr>
      </w:pPr>
      <w:r>
        <w:rPr>
          <w:rFonts w:ascii="Courier New" w:cs="Courier New" w:eastAsia="Courier New" w:hAnsi="Courier New"/>
          <w:sz w:val="14"/>
          <w:szCs w:val="14"/>
          <w:color w:val="auto"/>
        </w:rPr>
        <w:t>WATSCO, INC.</w:t>
      </w:r>
    </w:p>
    <w:p>
      <w:pPr>
        <w:spacing w:after="0" w:line="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2665 South Bayshore Drive, Suite 901</w:t>
      </w:r>
    </w:p>
    <w:p>
      <w:pPr>
        <w:spacing w:after="0" w:line="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Coconut Grove, Florida 33133</w:t>
      </w:r>
    </w:p>
    <w:p>
      <w:pPr>
        <w:spacing w:after="0" w:line="17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As of January 31, 2000</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America ("PRUDENTIAL")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Prudential Affiliate (as hereinafter defined)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becomes bound by certain provisions of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as hereinafter provided (together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Prudential, the "PURCHASERS")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Prudential Capital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Ravinia Drive, Suite 1400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Georgia 30346</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0" w:lineRule="exact"/>
        <w:rPr>
          <w:sz w:val="20"/>
          <w:szCs w:val="20"/>
          <w:color w:val="auto"/>
        </w:rPr>
      </w:pPr>
    </w:p>
    <w:p>
      <w:pPr>
        <w:ind w:right="3659" w:firstLine="769"/>
        <w:spacing w:after="0" w:line="251" w:lineRule="auto"/>
        <w:rPr>
          <w:sz w:val="20"/>
          <w:szCs w:val="20"/>
          <w:color w:val="auto"/>
        </w:rPr>
      </w:pPr>
      <w:r>
        <w:rPr>
          <w:rFonts w:ascii="Courier New" w:cs="Courier New" w:eastAsia="Courier New" w:hAnsi="Courier New"/>
          <w:sz w:val="14"/>
          <w:szCs w:val="14"/>
          <w:color w:val="auto"/>
        </w:rPr>
        <w:t>The undersigned, Watsco, Inc. (herein called the "COMPANY"), hereby agrees with you as follows:</w:t>
      </w:r>
    </w:p>
    <w:p>
      <w:pPr>
        <w:spacing w:after="0" w:line="161" w:lineRule="exact"/>
        <w:rPr>
          <w:sz w:val="20"/>
          <w:szCs w:val="20"/>
          <w:color w:val="auto"/>
        </w:rPr>
      </w:pPr>
    </w:p>
    <w:p>
      <w:pPr>
        <w:ind w:right="3319" w:firstLine="777"/>
        <w:spacing w:after="0" w:line="248" w:lineRule="auto"/>
        <w:tabs>
          <w:tab w:leader="none" w:pos="1025"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OF ISSUE OF NOTES. The Company will authorize the issue of its senior unsecured promissory notes (the "SHELF NOTES") in the aggregate principal amount of $125,000,000, to be dated the date of issue thereof, to mature, in the case of each Shelf Note so issued, no more than twelve years after the date of original issuance thereof, to have an average life, in the case of each Shelf Note so issued, of no more than ten years after the date of original issuance thereof, to bear interest on the unpaid balance thereof from the date thereof at the rate per annum, and to have such other particular terms, as shall be set forth, in the case of each Shelf Note so issued, in the Confirmation of Acceptance with respect to such Shelf Note delivered pursuant to paragraph 2F, and to be substantially in the form of Exhibit A attached hereto. The terms "SHELF NOTE" and "SHELF NOTES" as used herein shall include each Shelf Note delivered pursuant to any provision of this Agreement and each Shelf Note delivered in substitution or exchange for any such Shelf Note pursuant to any such provision. The terms "NOTE" and "NOTES" as used herein shall include each Shelf Note delivered pursuant to any provision of this Agreement and each Note delivered in substitution or exchange for any such Note pursuant to any such provision. Notes which have (i) the same final maturity,</w:t>
      </w:r>
    </w:p>
    <w:p>
      <w:pPr>
        <w:spacing w:after="0" w:line="7" w:lineRule="exact"/>
        <w:rPr>
          <w:rFonts w:ascii="Courier New" w:cs="Courier New" w:eastAsia="Courier New" w:hAnsi="Courier New"/>
          <w:sz w:val="14"/>
          <w:szCs w:val="14"/>
          <w:color w:val="auto"/>
        </w:rPr>
      </w:pPr>
    </w:p>
    <w:p>
      <w:pPr>
        <w:ind w:right="3399" w:firstLine="8"/>
        <w:spacing w:after="0" w:line="249" w:lineRule="auto"/>
        <w:tabs>
          <w:tab w:leader="none" w:pos="42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same principal prepayment dates, (iii) the same principal prepayment amounts (as a percentage of the original principal amount of each Note), (iv) the same interest rate, (v) the same interest payment periods and (vi) the same date of issuance (which, in the case of a Note issued in exchange for another Note, shall be deemed for these purposes the date on which such Note's ultimate predecessor Note was issued), are herein called a "SERIES" of Notes.</w:t>
      </w:r>
    </w:p>
    <w:p>
      <w:pPr>
        <w:sectPr>
          <w:pgSz w:w="11900" w:h="16838" w:orient="portrait"/>
          <w:cols w:equalWidth="0" w:num="1">
            <w:col w:w="10159"/>
          </w:cols>
          <w:pgMar w:left="300" w:top="612" w:right="1440" w:bottom="1440" w:gutter="0" w:footer="0" w:header="0"/>
        </w:sectPr>
      </w:pPr>
    </w:p>
    <w:bookmarkStart w:id="77" w:name="page78"/>
    <w:bookmarkEnd w:id="77"/>
    <w:p>
      <w:pPr>
        <w:jc w:val="right"/>
        <w:ind w:right="3319"/>
        <w:spacing w:after="0"/>
        <w:rPr>
          <w:sz w:val="20"/>
          <w:szCs w:val="20"/>
          <w:color w:val="auto"/>
        </w:rPr>
      </w:pPr>
      <w:r>
        <w:rPr>
          <w:rFonts w:ascii="Courier New" w:cs="Courier New" w:eastAsia="Courier New" w:hAnsi="Courier New"/>
          <w:sz w:val="14"/>
          <w:szCs w:val="14"/>
          <w:color w:val="auto"/>
        </w:rPr>
        <w:t>2</w:t>
      </w:r>
    </w:p>
    <w:p>
      <w:pPr>
        <w:spacing w:after="0" w:line="33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 PURCHASE AND SALE OF NOTES.</w:t>
      </w:r>
    </w:p>
    <w:p>
      <w:pPr>
        <w:spacing w:after="0" w:line="170"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2A. FACILITY. Prudential is willing to consider, in its sole discretion and within limits which may be authorized for purchase by Prudential and Prudential Affiliates from time to time, the purchase of Shelf Notes pursuant to this Agreement. The willingness of Prudential to consider such purchase of Shelf Notes is herein called the "FACILITY". At any time, the aggregate principal amount of Shelf Notes stated in paragraph 1, minus the aggregate principal amount of Shelf Notes purchased and sold pursuant to this Agreement prior to such time, minus the aggregate principal amount of Accepted Notes (as hereinafter defined) which have not yet been purchased and sold hereunder prior to such time, plus the aggregate principal amount of Shelf Notes purchased and sold pursuant to this Agreement and thereafter retired prior to such time is herein called the "AVAILABLE FACILITY AMOUNT" at such time. NOTWITHSTANDING THE WILLINGNESS OF PRUDENTIAL TO CONSIDER PURCHASES OF SHELF NOTES, THIS AGREEMENT IS ENTERED INTO ON THE EXPRESS UNDERSTANDING THAT NEITHER PRUDENTIAL NOR ANY PRUDENTIAL AFFILIATE SHALL BE OBLIGATED TO MAKE OR ACCEPT OFFERS TO PURCHASE SHELF NOTES, OR TO QUOTE RATES, SPREADS OR OTHER TERMS WITH RESPECT TO SPECIFIC PURCHASES OF SHELF NOTES, AND THE FACILITY SHALL IN NO WAY BE CONSTRUED AS A COMMITMENT BY PRUDENTIAL OR ANY PRUDENTIAL AFFILIATE.</w:t>
      </w:r>
    </w:p>
    <w:p>
      <w:pPr>
        <w:spacing w:after="0" w:line="172" w:lineRule="exact"/>
        <w:rPr>
          <w:sz w:val="20"/>
          <w:szCs w:val="20"/>
          <w:color w:val="auto"/>
        </w:rPr>
      </w:pPr>
    </w:p>
    <w:p>
      <w:pPr>
        <w:ind w:right="3659" w:firstLine="769"/>
        <w:spacing w:after="0" w:line="251" w:lineRule="auto"/>
        <w:rPr>
          <w:sz w:val="20"/>
          <w:szCs w:val="20"/>
          <w:color w:val="auto"/>
        </w:rPr>
      </w:pPr>
      <w:r>
        <w:rPr>
          <w:rFonts w:ascii="Courier New" w:cs="Courier New" w:eastAsia="Courier New" w:hAnsi="Courier New"/>
          <w:sz w:val="14"/>
          <w:szCs w:val="14"/>
          <w:color w:val="auto"/>
        </w:rPr>
        <w:t>2B. ISSUANCE PERIOD. Shelf Notes may be issued and sold pursuant to this Agreement until the earlier of:</w:t>
      </w:r>
    </w:p>
    <w:p>
      <w:pPr>
        <w:spacing w:after="0" w:line="161" w:lineRule="exact"/>
        <w:rPr>
          <w:sz w:val="20"/>
          <w:szCs w:val="20"/>
          <w:color w:val="auto"/>
        </w:rPr>
      </w:pPr>
    </w:p>
    <w:p>
      <w:pPr>
        <w:jc w:val="both"/>
        <w:ind w:left="780" w:right="3319" w:firstLine="766"/>
        <w:spacing w:after="0" w:line="250" w:lineRule="auto"/>
        <w:tabs>
          <w:tab w:leader="none" w:pos="189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third anniversary of the date of this Agreement (or if such anniversary is not a Business Day, the Business Day next preceding such anniversary),</w:t>
      </w:r>
    </w:p>
    <w:p>
      <w:pPr>
        <w:spacing w:after="0" w:line="161" w:lineRule="exact"/>
        <w:rPr>
          <w:rFonts w:ascii="Courier New" w:cs="Courier New" w:eastAsia="Courier New" w:hAnsi="Courier New"/>
          <w:sz w:val="14"/>
          <w:szCs w:val="14"/>
          <w:color w:val="auto"/>
        </w:rPr>
      </w:pPr>
    </w:p>
    <w:p>
      <w:pPr>
        <w:ind w:left="780" w:right="3579" w:firstLine="766"/>
        <w:spacing w:after="0" w:line="249" w:lineRule="auto"/>
        <w:tabs>
          <w:tab w:leader="none" w:pos="197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thirtieth day after Prudential shall have given to the Company, or the Company shall have given to Prudential, a notice stating that it elects to terminate the issuance and sale of Shelf Notes pursuant to this Agreement (or if such thirtieth day is not a Business Day, the Business Day next preceding such thirtieth day),</w:t>
      </w:r>
    </w:p>
    <w:p>
      <w:pPr>
        <w:spacing w:after="0" w:line="163" w:lineRule="exact"/>
        <w:rPr>
          <w:rFonts w:ascii="Courier New" w:cs="Courier New" w:eastAsia="Courier New" w:hAnsi="Courier New"/>
          <w:sz w:val="14"/>
          <w:szCs w:val="14"/>
          <w:color w:val="auto"/>
        </w:rPr>
      </w:pPr>
    </w:p>
    <w:p>
      <w:pPr>
        <w:ind w:left="780" w:right="3479" w:firstLine="766"/>
        <w:spacing w:after="0" w:line="251" w:lineRule="auto"/>
        <w:tabs>
          <w:tab w:leader="none" w:pos="206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last Closing Day after which there is no Available Facility Amount,</w:t>
      </w:r>
    </w:p>
    <w:p>
      <w:pPr>
        <w:spacing w:after="0" w:line="161" w:lineRule="exact"/>
        <w:rPr>
          <w:rFonts w:ascii="Courier New" w:cs="Courier New" w:eastAsia="Courier New" w:hAnsi="Courier New"/>
          <w:sz w:val="14"/>
          <w:szCs w:val="14"/>
          <w:color w:val="auto"/>
        </w:rPr>
      </w:pPr>
    </w:p>
    <w:p>
      <w:pPr>
        <w:ind w:left="1980" w:hanging="434"/>
        <w:spacing w:after="0"/>
        <w:tabs>
          <w:tab w:leader="none" w:pos="19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of the Facility under paragraph 7A, and</w:t>
      </w:r>
    </w:p>
    <w:p>
      <w:pPr>
        <w:spacing w:after="0" w:line="170" w:lineRule="exact"/>
        <w:rPr>
          <w:rFonts w:ascii="Courier New" w:cs="Courier New" w:eastAsia="Courier New" w:hAnsi="Courier New"/>
          <w:sz w:val="14"/>
          <w:szCs w:val="14"/>
          <w:color w:val="auto"/>
        </w:rPr>
      </w:pPr>
    </w:p>
    <w:p>
      <w:pPr>
        <w:ind w:left="1880" w:hanging="334"/>
        <w:spacing w:after="0"/>
        <w:tabs>
          <w:tab w:leader="none" w:pos="18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acceleration of any Note under paragraph 7A of this</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w:t>
      </w:r>
    </w:p>
    <w:p>
      <w:pPr>
        <w:spacing w:after="0" w:line="170" w:lineRule="exact"/>
        <w:rPr>
          <w:sz w:val="20"/>
          <w:szCs w:val="20"/>
          <w:color w:val="auto"/>
        </w:rPr>
      </w:pPr>
    </w:p>
    <w:p>
      <w:pPr>
        <w:ind w:right="3739"/>
        <w:spacing w:after="0" w:line="251" w:lineRule="auto"/>
        <w:rPr>
          <w:sz w:val="20"/>
          <w:szCs w:val="20"/>
          <w:color w:val="auto"/>
        </w:rPr>
      </w:pPr>
      <w:r>
        <w:rPr>
          <w:rFonts w:ascii="Courier New" w:cs="Courier New" w:eastAsia="Courier New" w:hAnsi="Courier New"/>
          <w:sz w:val="14"/>
          <w:szCs w:val="14"/>
          <w:color w:val="auto"/>
        </w:rPr>
        <w:t>The period during which Shelf Notes may be issued and sold pursuant to this Agreement is herein called the "ISSUANCE PERIOD".</w:t>
      </w:r>
    </w:p>
    <w:p>
      <w:pPr>
        <w:spacing w:after="0" w:line="161"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2C. PERIODIC SPREAD INFORMATION. Not later than 9:30 A.M. (New York City local time) on a Business Day during the Issuance Period if there is an Available Facility Amount on such Business Day, the Company may request by telecopier or telephone, and Prudential will, to the extent reasonably practicable, provide to the Company on such Business Day (or, if such request is received after 9:30 A.M. (New York City local time) on such Business Day, on the following Business Day), information (by telecopier or telephone) with respect to various spreads at which Prudential or Prudential Affiliates might be interested in purchasing Shelf</w:t>
      </w:r>
    </w:p>
    <w:p>
      <w:pPr>
        <w:sectPr>
          <w:pgSz w:w="11900" w:h="16838" w:orient="portrait"/>
          <w:cols w:equalWidth="0" w:num="1">
            <w:col w:w="10159"/>
          </w:cols>
          <w:pgMar w:left="300" w:top="448" w:right="1440" w:bottom="1440" w:gutter="0" w:footer="0" w:header="0"/>
        </w:sectPr>
      </w:pPr>
    </w:p>
    <w:bookmarkStart w:id="78" w:name="page79"/>
    <w:bookmarkEnd w:id="78"/>
    <w:p>
      <w:pPr>
        <w:jc w:val="right"/>
        <w:ind w:right="3319"/>
        <w:spacing w:after="0"/>
        <w:rPr>
          <w:sz w:val="20"/>
          <w:szCs w:val="20"/>
          <w:color w:val="auto"/>
        </w:rPr>
      </w:pPr>
      <w:r>
        <w:rPr>
          <w:rFonts w:ascii="Courier New" w:cs="Courier New" w:eastAsia="Courier New" w:hAnsi="Courier New"/>
          <w:sz w:val="14"/>
          <w:szCs w:val="14"/>
          <w:color w:val="auto"/>
        </w:rPr>
        <w:t>3</w:t>
      </w:r>
    </w:p>
    <w:p>
      <w:pPr>
        <w:spacing w:after="0" w:line="334"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Notes of different average lives; PROVIDED, HOWEVER, that the Company may not make such requests more frequently than once in every five Business Days or such other period as shall be mutually agreed to by the Company and Prudential. The amount and content of information so provided shall be in the sole discretion of Prudential but it is the intent of Prudential to provide information which will be of use to the Company in determining whether to initiate procedures for use of the Facility. Information so provided shall be representative of potential interest only for the periods commencing on the day such information is provided and ending on the earlier of the fifth Business Day after such day and the first day after such day on which further spread information is provided. Prudential may suspend or terminate providing information pursuant to this paragraph 2C for any reason, including its determination that the credit quality of the Company has declined since the date of this Agreement.</w:t>
      </w:r>
    </w:p>
    <w:p>
      <w:pPr>
        <w:spacing w:after="0" w:line="170"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2D. REQUEST FOR PURCHASE. The Company may from time to time during the Issuance Period make requests for purchases of Shelf Notes (each such request being herein called a "REQUEST FOR PURCHASE"). Each Request for Purchase shall be made to Prudential by telecopier or overnight delivery service, and shall:</w:t>
      </w:r>
    </w:p>
    <w:p>
      <w:pPr>
        <w:spacing w:after="0" w:line="163" w:lineRule="exact"/>
        <w:rPr>
          <w:sz w:val="20"/>
          <w:szCs w:val="20"/>
          <w:color w:val="auto"/>
        </w:rPr>
      </w:pPr>
    </w:p>
    <w:p>
      <w:pPr>
        <w:ind w:left="780" w:right="3319" w:firstLine="766"/>
        <w:spacing w:after="0" w:line="249" w:lineRule="auto"/>
        <w:tabs>
          <w:tab w:leader="none" w:pos="189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the aggregate principal amount of Shelf Notes covered thereby, which shall not be less than the lesser of (A) $10,000,000 and (B) the Available Facility Amount if such Available Facility Amount is equal to or greater than $5,000,000 and not be greater than the Available Facility Amount at the time such Request for Purchase is made,</w:t>
      </w:r>
    </w:p>
    <w:p>
      <w:pPr>
        <w:spacing w:after="0" w:line="163" w:lineRule="exact"/>
        <w:rPr>
          <w:rFonts w:ascii="Courier New" w:cs="Courier New" w:eastAsia="Courier New" w:hAnsi="Courier New"/>
          <w:sz w:val="14"/>
          <w:szCs w:val="14"/>
          <w:color w:val="auto"/>
        </w:rPr>
      </w:pPr>
    </w:p>
    <w:p>
      <w:pPr>
        <w:ind w:left="780" w:right="3399" w:firstLine="766"/>
        <w:spacing w:after="0" w:line="249" w:lineRule="auto"/>
        <w:tabs>
          <w:tab w:leader="none" w:pos="197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the principal amounts, final maturities (which shall be no more than twelve years from the date of issuance), average life (which shall be no more than 10 years from the date of issuance) principal prepayment dates, if any, and amounts and interest payment periods (which shall be quarterly or semiannually in arrears) of the Shelf Notes covered thereby,</w:t>
      </w:r>
    </w:p>
    <w:p>
      <w:pPr>
        <w:spacing w:after="0" w:line="163" w:lineRule="exact"/>
        <w:rPr>
          <w:rFonts w:ascii="Courier New" w:cs="Courier New" w:eastAsia="Courier New" w:hAnsi="Courier New"/>
          <w:sz w:val="14"/>
          <w:szCs w:val="14"/>
          <w:color w:val="auto"/>
        </w:rPr>
      </w:pPr>
    </w:p>
    <w:p>
      <w:pPr>
        <w:ind w:left="2060" w:hanging="514"/>
        <w:spacing w:after="0"/>
        <w:tabs>
          <w:tab w:leader="none" w:pos="20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the use of proceeds of such Shelf Notes,</w:t>
      </w:r>
    </w:p>
    <w:p>
      <w:pPr>
        <w:spacing w:after="0" w:line="170" w:lineRule="exact"/>
        <w:rPr>
          <w:rFonts w:ascii="Courier New" w:cs="Courier New" w:eastAsia="Courier New" w:hAnsi="Courier New"/>
          <w:sz w:val="14"/>
          <w:szCs w:val="14"/>
          <w:color w:val="auto"/>
        </w:rPr>
      </w:pPr>
    </w:p>
    <w:p>
      <w:pPr>
        <w:jc w:val="both"/>
        <w:ind w:left="780" w:right="3399" w:firstLine="766"/>
        <w:spacing w:after="0" w:line="249" w:lineRule="auto"/>
        <w:tabs>
          <w:tab w:leader="none" w:pos="197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the proposed day for the closing of the purchase and sale of such Shelf Notes, which shall be a Business Day during the Issuance Period not less than 10 days and not more than 20 days after the making of such Request for Purchase,</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the number of the account and the name and address of the depository institution to which the purchase prices of such Shelf Notes are to be transferred on the Closing Day for such purchase and sale,</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certify that the representations and warranties contained in paragraph 8 are true on and as of the date of such Request for Purchase and that there exists on the date of such Request for Purchase no Event of Default or Default, and</w:t>
      </w:r>
    </w:p>
    <w:p>
      <w:pPr>
        <w:spacing w:after="0" w:line="163" w:lineRule="exact"/>
        <w:rPr>
          <w:rFonts w:ascii="Courier New" w:cs="Courier New" w:eastAsia="Courier New" w:hAnsi="Courier New"/>
          <w:sz w:val="14"/>
          <w:szCs w:val="14"/>
          <w:color w:val="auto"/>
        </w:rPr>
      </w:pPr>
    </w:p>
    <w:p>
      <w:pPr>
        <w:ind w:left="2060" w:hanging="514"/>
        <w:spacing w:after="0"/>
        <w:tabs>
          <w:tab w:leader="none" w:pos="20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substantially in the form of Exhibit B attached</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hereto.</w:t>
      </w:r>
    </w:p>
    <w:p>
      <w:pPr>
        <w:spacing w:after="0" w:line="170" w:lineRule="exact"/>
        <w:rPr>
          <w:sz w:val="20"/>
          <w:szCs w:val="20"/>
          <w:color w:val="auto"/>
        </w:rPr>
      </w:pPr>
    </w:p>
    <w:p>
      <w:pPr>
        <w:ind w:right="3739"/>
        <w:spacing w:after="0" w:line="251" w:lineRule="auto"/>
        <w:rPr>
          <w:sz w:val="20"/>
          <w:szCs w:val="20"/>
          <w:color w:val="auto"/>
        </w:rPr>
      </w:pPr>
      <w:r>
        <w:rPr>
          <w:rFonts w:ascii="Courier New" w:cs="Courier New" w:eastAsia="Courier New" w:hAnsi="Courier New"/>
          <w:sz w:val="14"/>
          <w:szCs w:val="14"/>
          <w:color w:val="auto"/>
        </w:rPr>
        <w:t>Each Request for Purchase shall be in writing and shall be deemed made when received by Prudential.</w:t>
      </w:r>
    </w:p>
    <w:p>
      <w:pPr>
        <w:sectPr>
          <w:pgSz w:w="11900" w:h="16838" w:orient="portrait"/>
          <w:cols w:equalWidth="0" w:num="1">
            <w:col w:w="10159"/>
          </w:cols>
          <w:pgMar w:left="300" w:top="448" w:right="1440" w:bottom="1440" w:gutter="0" w:footer="0" w:header="0"/>
        </w:sectPr>
      </w:pPr>
    </w:p>
    <w:bookmarkStart w:id="79" w:name="page80"/>
    <w:bookmarkEnd w:id="79"/>
    <w:p>
      <w:pPr>
        <w:jc w:val="right"/>
        <w:ind w:right="3319"/>
        <w:spacing w:after="0"/>
        <w:rPr>
          <w:sz w:val="20"/>
          <w:szCs w:val="20"/>
          <w:color w:val="auto"/>
        </w:rPr>
      </w:pPr>
      <w:r>
        <w:rPr>
          <w:rFonts w:ascii="Courier New" w:cs="Courier New" w:eastAsia="Courier New" w:hAnsi="Courier New"/>
          <w:sz w:val="14"/>
          <w:szCs w:val="14"/>
          <w:color w:val="auto"/>
        </w:rPr>
        <w:t>4</w:t>
      </w:r>
    </w:p>
    <w:p>
      <w:pPr>
        <w:spacing w:after="0" w:line="334"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2E. RATE QUOTES. Not later than five Business Days after the Company shall have given Prudential a Request for Purchase pursuant to paragraph 2D, Prudential may, but shall be under no obligation to, provide to the Company by telephone or telecopier, in each case between 9:30 A.M. and 2:00 P.M. New York City local time (or such later time as Prudential may elect), interest rate quotes for the several principal amounts, maturities, principal prepayment schedules, and interest payment periods of Shelf Notes specified in such Request for Purchase. Each quote shall represent the interest rate per annum payable on the outstanding principal balance of such Shelf Notes at which Prudential or a Prudential Affiliate would be willing to purchase such Shelf Notes at 100% of the principal amount thereof.</w:t>
      </w:r>
    </w:p>
    <w:p>
      <w:pPr>
        <w:spacing w:after="0" w:line="169"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2F. ACCEPTANCE. Within 30 minutes after Prudential shall have provided any interest rate quotes pursuant to paragraph 2E or such shorter period as Prudential may specify to the Company (such period herein called the "ACCEPTANCE WINDOW"), the Company may, subject to paragraph 2G, elect to accept such interest rate quotes as to not less than the lesser of (A) $10,000,000 aggregate principal amount of the Shelf Notes specified in the related Request for Purchase or (B) the Available Facility Amount if such Available Facility Amount is equal to or greater than $5,000,000. Such election shall be made by an Authorized Officer of the Company notifying Prudential by telephone or telecopier within the Acceptance Window (but not earlier than 9:30 A.M. or later than 2:00 P.M., New York City local time) that the Company elects to accept such interest rate quotes, specifying the Shelf Notes (each such Shelf Note being herein called an "ACCEPTED NOTE") as to which such acceptance (herein called an "ACCEPTANCE") relates. The day the Company notifies Prudential of an Acceptance with respect to any Accepted Notes is herein called the "ACCEPTANCE DAY" for such Accepted Notes. Any interest rate quotes as to which Prudential does not receive an Acceptance within the Acceptance Window shall expire, and no purchase or sale of Shelf Notes hereunder shall be made based on such expired interest rate quotes. Subject to paragraph 2G and the other terms and conditions hereof, the Company agrees to sell to Prudential or a Prudential Affiliate, and Prudential agrees to purchase, or to cause the purchase by a Prudential Affiliate of, the Accepted Notes at 100% of the principal amount of such Notes. As soon as practicable following the Acceptance Day, the Company, Prudential and each Prudential Affiliate which is to purchase any such Accepted Notes will execute a confirmation of such Acceptance substantially in the form of Exhibit C attached hereto (herein called a "CONFIRMATION OF ACCEPTANCE"). If the Company should fail to execute and return to Prudential within three Business Days following receipt thereof a Confirmation of Acceptance with respect to any Accepted Notes, Prudential may at its election at any time prior to its receipt thereof cancel the closing with respect to such Accepted Notes by so notifying the Company in writing.</w:t>
      </w:r>
    </w:p>
    <w:p>
      <w:pPr>
        <w:spacing w:after="0" w:line="342"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2G. MARKET DISRUPTION. Notwithstanding the provisions of paragraph 2F, if Prudential shall have provided interest rate quotes pursuant to paragraph 2E and thereafter prior to the time an Acceptance with respect to such quotes shall have been notified to Prudential in accordance with paragraph 2F the domestic market for U.S. Treasury securities or other financial instruments shall have closed or there shall have occurred a general suspension, material limitation, or significant disruption of trading in securities generally on the New York Stock Exchange or in the domestic market for U.S. Treasury securities or other financial instruments, then such interest rate quotes shall expire, and no purchase or sale of Shelf Notes hereunder shall be made based on such expired interest rate quotes. If the Company thereafter notifies Prudential of the Acceptance of any such interest rate quotes, such Acceptance shall be ineffective for all</w:t>
      </w:r>
    </w:p>
    <w:p>
      <w:pPr>
        <w:sectPr>
          <w:pgSz w:w="11900" w:h="16838" w:orient="portrait"/>
          <w:cols w:equalWidth="0" w:num="1">
            <w:col w:w="10159"/>
          </w:cols>
          <w:pgMar w:left="300" w:top="448" w:right="1440" w:bottom="1440" w:gutter="0" w:footer="0" w:header="0"/>
        </w:sectPr>
      </w:pPr>
    </w:p>
    <w:bookmarkStart w:id="80" w:name="page81"/>
    <w:bookmarkEnd w:id="80"/>
    <w:p>
      <w:pPr>
        <w:jc w:val="right"/>
        <w:ind w:right="3319"/>
        <w:spacing w:after="0"/>
        <w:rPr>
          <w:sz w:val="20"/>
          <w:szCs w:val="20"/>
          <w:color w:val="auto"/>
        </w:rPr>
      </w:pPr>
      <w:r>
        <w:rPr>
          <w:rFonts w:ascii="Courier New" w:cs="Courier New" w:eastAsia="Courier New" w:hAnsi="Courier New"/>
          <w:sz w:val="14"/>
          <w:szCs w:val="14"/>
          <w:color w:val="auto"/>
        </w:rPr>
        <w:t>5</w:t>
      </w:r>
    </w:p>
    <w:p>
      <w:pPr>
        <w:spacing w:after="0" w:line="334" w:lineRule="exact"/>
        <w:rPr>
          <w:sz w:val="20"/>
          <w:szCs w:val="20"/>
          <w:color w:val="auto"/>
        </w:rPr>
      </w:pPr>
    </w:p>
    <w:p>
      <w:pPr>
        <w:jc w:val="both"/>
        <w:ind w:right="3659"/>
        <w:spacing w:after="0" w:line="250" w:lineRule="auto"/>
        <w:rPr>
          <w:sz w:val="20"/>
          <w:szCs w:val="20"/>
          <w:color w:val="auto"/>
        </w:rPr>
      </w:pPr>
      <w:r>
        <w:rPr>
          <w:rFonts w:ascii="Courier New" w:cs="Courier New" w:eastAsia="Courier New" w:hAnsi="Courier New"/>
          <w:sz w:val="14"/>
          <w:szCs w:val="14"/>
          <w:color w:val="auto"/>
        </w:rPr>
        <w:t>purposes of this Agreement, and Prudential shall promptly notify the Company that the provisions of this paragraph 2G are applicable with respect to such Acceptance.</w:t>
      </w:r>
    </w:p>
    <w:p>
      <w:pPr>
        <w:spacing w:after="0" w:line="162"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2H. FACILITY CLOSINGS. Not later than 11:30 A.M. (New York City local time) on the Closing Day for any Accepted Notes, the Company will deliver to each Purchaser listed in the Confirmation of Acceptance relating thereto at the offices of the Prudential Capital Group, 1114 Avenue of the Americas, 30th Floor, New York, New York, the Accepted Notes to be purchased by such Purchaser in the form of one or more Notes in authorized denominations as such Purchaser may request for each Series of Accepted Notes to be purchased on the Closing Day, dated the Closing Day and registered in such Purchaser's name (or in the name of its nominee), against payment of the purchase price thereof by transfer of immediately available funds for credit to the Company's account specified in the Request for Purchase of such Notes. If the Company fails to tender to any Purchaser the Accepted Notes to be purchased by such Purchaser on the scheduled Closing Day for such Accepted Notes as provided above in this paragraph 2H, or any of the conditions specified in paragraph 3 shall not have been fulfilled by the time required on such scheduled Closing Day, the Company shall, prior to 1:00 P.M., New York City local time, on such scheduled Closing Day notify Prudential (which notification shall be deemed received by each Purchaser) in writing whether (i) such closing is to be rescheduled (such rescheduled date to be a Business Day during the Issuance Period not less than one Business Day and not more than 10 Business Days after such scheduled Closing Day (the "RESCHEDULED CLOSING DAY") and certify to Prudential (which certification shall be for the benefit of each Purchaser) that the Company reasonably believes that it will be able to comply with the conditions set forth in paragraph 3 on such Rescheduled Closing Day and that the Company will pay the Delayed Delivery Fee, if applicable, in accordance with paragraph 2I(3) or (ii) such closing is to be canceled. In the event that the Company shall fail to give such notice referred to in the preceding sentence, Prudential (on behalf of each Purchaser) may at its election, at any time after 1:00 P.M., New York City local time, on such scheduled Closing Day, notify the Company in writing that such closing is to be canceled. Notwithstanding anything to the contrary appearing in this Agreement, the Company may elect to reschedule a closing with respect to any given Accepted Notes on not more than one occasion, unless Prudential shall have otherwise consented in writing.</w:t>
      </w:r>
    </w:p>
    <w:p>
      <w:pPr>
        <w:spacing w:after="0" w:line="17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2I. FEES.</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2I(1) FACILITY FEE. In consideration for the time, effort and expense involved in the preparation, negotiation and execution of this Agreement, at the time of the execution and delivery of this Agreement by the Company and Prudential, the Company will pay to Prudential in immediately available funds a nonrefundable fee (herein called the "FACILITY FEE") in the amount of $35,000.00.</w:t>
      </w:r>
    </w:p>
    <w:p>
      <w:pPr>
        <w:spacing w:after="0" w:line="328"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2I(2) ISSUANCE FEE. The Company will pay to Prudential in immediately available funds a fee (herein called the "ISSUANCE FEE") on each Closing Day occurring after April 30, 2000 in an amount equal to 0.125% of the aggregate principal amount of Notes sold on such Closing Day.</w:t>
      </w:r>
    </w:p>
    <w:p>
      <w:pPr>
        <w:spacing w:after="0" w:line="163" w:lineRule="exact"/>
        <w:rPr>
          <w:sz w:val="20"/>
          <w:szCs w:val="20"/>
          <w:color w:val="auto"/>
        </w:rPr>
      </w:pPr>
    </w:p>
    <w:p>
      <w:pPr>
        <w:jc w:val="both"/>
        <w:ind w:right="3399" w:firstLine="769"/>
        <w:spacing w:after="0" w:line="250" w:lineRule="auto"/>
        <w:rPr>
          <w:sz w:val="20"/>
          <w:szCs w:val="20"/>
          <w:color w:val="auto"/>
        </w:rPr>
      </w:pPr>
      <w:r>
        <w:rPr>
          <w:rFonts w:ascii="Courier New" w:cs="Courier New" w:eastAsia="Courier New" w:hAnsi="Courier New"/>
          <w:sz w:val="14"/>
          <w:szCs w:val="14"/>
          <w:color w:val="auto"/>
        </w:rPr>
        <w:t>2I(3) DELAYED DELIVERY FEE. If the closing of the purchase and sale of any Accepted Note is delayed for any reason beyond the original Closing Day for such Accepted Note, the</w:t>
      </w:r>
    </w:p>
    <w:p>
      <w:pPr>
        <w:sectPr>
          <w:pgSz w:w="11900" w:h="16838" w:orient="portrait"/>
          <w:cols w:equalWidth="0" w:num="1">
            <w:col w:w="10159"/>
          </w:cols>
          <w:pgMar w:left="300" w:top="448" w:right="1440" w:bottom="1440" w:gutter="0" w:footer="0" w:header="0"/>
        </w:sectPr>
      </w:pPr>
    </w:p>
    <w:bookmarkStart w:id="81" w:name="page82"/>
    <w:bookmarkEnd w:id="81"/>
    <w:p>
      <w:pPr>
        <w:jc w:val="right"/>
        <w:ind w:right="3319"/>
        <w:spacing w:after="0"/>
        <w:rPr>
          <w:sz w:val="20"/>
          <w:szCs w:val="20"/>
          <w:color w:val="auto"/>
        </w:rPr>
      </w:pPr>
      <w:r>
        <w:rPr>
          <w:rFonts w:ascii="Courier New" w:cs="Courier New" w:eastAsia="Courier New" w:hAnsi="Courier New"/>
          <w:sz w:val="14"/>
          <w:szCs w:val="14"/>
          <w:color w:val="auto"/>
        </w:rPr>
        <w:t>6</w:t>
      </w:r>
    </w:p>
    <w:p>
      <w:pPr>
        <w:spacing w:after="0" w:line="33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Company will pay to Prudential (a) on the Cancellation Date or actual closing date of such purchase and sale and (b) if earlier, the next Business Day following 90 days after the Acceptance Day for such Accepted Note and on each Business Day following 90 days after the prior payment hereunder, a fee (herein called the "DELAYED DELIVERY FEE") calculated as follows:</w:t>
      </w:r>
    </w:p>
    <w:p>
      <w:pPr>
        <w:spacing w:after="0" w:line="16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(BEY - MMY) X DTS/360 X PA</w:t>
      </w:r>
    </w:p>
    <w:p>
      <w:pPr>
        <w:spacing w:after="0" w:line="17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where "BEY" means Bond Equivalent Yield, i.e., the bond equivalent yield per annum of such Accepted Note, "MMY" means Money Market Yield, i.e., the yield per annum on a commercial paper investment of the highest quality selected by Prudential on the date Prudential receives notice of the delay in the closing for such Accepted Note having a maturity date or dates the same as, or closest to, the Rescheduled Closing Day or Rescheduled Closing Days (a new alternative investment being selected by Prudential each time such closing is delayed); "DTS" means Days to Settlement, i.e., the number of actual days elapsed from and including the original Closing Day with respect to such Accepted Note (in the case of the first such payment with respect to such Accepted Note) or from and including the date of the next preceding payment (in the case of any subsequent delayed delivery fee payment with respect to such Accepted Note) to but excluding the date of such payment; and "PA" means Principal Amount, i.e., the principal amount of the Accepted Note for which such calculation is being made. In no case shall the Delayed Delivery Fee be less than zero. If the foregoing calculation yields a negative number or zero, no Delayed Delivery Fee shall be due. Nothing contained herein shall obligate any Purchaser to purchase any Accepted Note on any day other than the Closing Day for such Accepted Note, as the same may be rescheduled from time to time in compliance with paragraph 2H.</w:t>
      </w:r>
    </w:p>
    <w:p>
      <w:pPr>
        <w:spacing w:after="0" w:line="173"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2I(4) CANCELLATION FEE. If the Company at any time notifies Prudential in writing that the Company is canceling the closing of the purchase and sale of any Accepted Note, or if Prudential notifies the Company in writing under the circumstances set forth in the last sentence of paragraph 2F or the penultimate sentence of paragraph 2H that the closing of the purchase and sale of such Accepted Note is to be canceled, or if the closing of the purchase and sale of such Accepted Note is not consummated on or prior to the last day of the Issuance Period (the date of any such notification, or the last day of the Issuance Period, as the case may be, being herein called the "CANCELLATION DATE"), the Company will pay the Purchasers in immediately available funds an amount (the "CANCELLATION FEE") calculated as follows: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PIXPA</w:t>
      </w:r>
    </w:p>
    <w:p>
      <w:pPr>
        <w:spacing w:after="0" w:line="170"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where "PI" means Price Increase, i.e., the quotient (expressed in decimals) obtained by dividing (a) the excess of the ask price (as determined by Prudential) of the Hedge Treasury Note(s) on the Cancellation Date over the bid price (as determined by Prudential) of the Hedge Treasury Notes(s) having a maturity date the same as, or closest to, such Accepted Note, on the Acceptance Day (if the difference is a negative number or zero, no Cancellation Fee shall be due) by (b) such bid price; and "PA" has the meaning ascribed to it in paragraph 2I(3). The foregoing bid and ask prices shall be as reported by Telerate Systems, Inc. (or, if such data for any reason ceases to be available through Telerate Systems, Inc., any publicly available source of similar market data). Each price shall be based on a U.S. Treasury security having a par value of</w:t>
      </w:r>
    </w:p>
    <w:p>
      <w:pPr>
        <w:sectPr>
          <w:pgSz w:w="11900" w:h="16838" w:orient="portrait"/>
          <w:cols w:equalWidth="0" w:num="1">
            <w:col w:w="10159"/>
          </w:cols>
          <w:pgMar w:left="300" w:top="448" w:right="1440" w:bottom="1440" w:gutter="0" w:footer="0" w:header="0"/>
        </w:sectPr>
      </w:pPr>
    </w:p>
    <w:bookmarkStart w:id="82" w:name="page83"/>
    <w:bookmarkEnd w:id="82"/>
    <w:p>
      <w:pPr>
        <w:jc w:val="right"/>
        <w:ind w:right="3319"/>
        <w:spacing w:after="0"/>
        <w:rPr>
          <w:sz w:val="20"/>
          <w:szCs w:val="20"/>
          <w:color w:val="auto"/>
        </w:rPr>
      </w:pPr>
      <w:r>
        <w:rPr>
          <w:rFonts w:ascii="Courier New" w:cs="Courier New" w:eastAsia="Courier New" w:hAnsi="Courier New"/>
          <w:sz w:val="14"/>
          <w:szCs w:val="14"/>
          <w:color w:val="auto"/>
        </w:rPr>
        <w:t>7</w:t>
      </w:r>
    </w:p>
    <w:p>
      <w:pPr>
        <w:spacing w:after="0" w:line="334" w:lineRule="exact"/>
        <w:rPr>
          <w:sz w:val="20"/>
          <w:szCs w:val="20"/>
          <w:color w:val="auto"/>
        </w:rPr>
      </w:pPr>
    </w:p>
    <w:p>
      <w:pPr>
        <w:ind w:right="3479"/>
        <w:spacing w:after="0" w:line="251" w:lineRule="auto"/>
        <w:rPr>
          <w:sz w:val="20"/>
          <w:szCs w:val="20"/>
          <w:color w:val="auto"/>
        </w:rPr>
      </w:pPr>
      <w:r>
        <w:rPr>
          <w:rFonts w:ascii="Courier New" w:cs="Courier New" w:eastAsia="Courier New" w:hAnsi="Courier New"/>
          <w:sz w:val="14"/>
          <w:szCs w:val="14"/>
          <w:color w:val="auto"/>
        </w:rPr>
        <w:t>$100.00 and shall be rounded to the second decimal place. In no case shall the Cancellation Fee be less than zero.</w:t>
      </w:r>
    </w:p>
    <w:p>
      <w:pPr>
        <w:spacing w:after="0" w:line="161" w:lineRule="exact"/>
        <w:rPr>
          <w:sz w:val="20"/>
          <w:szCs w:val="20"/>
          <w:color w:val="auto"/>
        </w:rPr>
      </w:pPr>
    </w:p>
    <w:p>
      <w:pPr>
        <w:ind w:right="3319" w:firstLine="777"/>
        <w:spacing w:after="0" w:line="249" w:lineRule="auto"/>
        <w:tabs>
          <w:tab w:leader="none" w:pos="102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OF CLOSING. The obligation of any Purchaser to purchase and pay for any Notes is subject to the satisfaction of (i) the conditions set forth in paragraph 3A(1) on or before January __, 2000 (hereinafter "INITIAL CLOSING DAY"), which closing shall occur at the offices of King &amp; Spalding, 1185 Avenue of the Americas, New York, New York, (ii) the conditions set forth in paragraph 3A(2) on or before the Closing Day for the initial purchase of any Notes hereunder (the "INITIAL FUNDING DAY") and (iii) the conditions set forth in paragraph 3A(3) on or before the Closing Day for any Notes of the following conditions:</w:t>
      </w:r>
    </w:p>
    <w:p>
      <w:pPr>
        <w:spacing w:after="0" w:line="162" w:lineRule="exact"/>
        <w:rPr>
          <w:sz w:val="20"/>
          <w:szCs w:val="20"/>
          <w:color w:val="auto"/>
        </w:rPr>
      </w:pPr>
    </w:p>
    <w:p>
      <w:pPr>
        <w:ind w:right="4179" w:firstLine="769"/>
        <w:spacing w:after="0" w:line="251" w:lineRule="auto"/>
        <w:rPr>
          <w:sz w:val="20"/>
          <w:szCs w:val="20"/>
          <w:color w:val="auto"/>
        </w:rPr>
      </w:pPr>
      <w:r>
        <w:rPr>
          <w:rFonts w:ascii="Courier New" w:cs="Courier New" w:eastAsia="Courier New" w:hAnsi="Courier New"/>
          <w:sz w:val="14"/>
          <w:szCs w:val="14"/>
          <w:color w:val="auto"/>
        </w:rPr>
        <w:t>3A. CERTAIN DOCUMENTS. Such Purchaser shall have received the following:</w:t>
      </w:r>
    </w:p>
    <w:p>
      <w:pPr>
        <w:spacing w:after="0" w:line="161" w:lineRule="exact"/>
        <w:rPr>
          <w:sz w:val="20"/>
          <w:szCs w:val="20"/>
          <w:color w:val="auto"/>
        </w:rPr>
      </w:pPr>
    </w:p>
    <w:p>
      <w:pPr>
        <w:ind w:right="3659" w:firstLine="769"/>
        <w:spacing w:after="0" w:line="251" w:lineRule="auto"/>
        <w:rPr>
          <w:sz w:val="20"/>
          <w:szCs w:val="20"/>
          <w:color w:val="auto"/>
        </w:rPr>
      </w:pPr>
      <w:r>
        <w:rPr>
          <w:rFonts w:ascii="Courier New" w:cs="Courier New" w:eastAsia="Courier New" w:hAnsi="Courier New"/>
          <w:sz w:val="14"/>
          <w:szCs w:val="14"/>
          <w:color w:val="auto"/>
        </w:rPr>
        <w:t>3A(1) INITIAL CLOSING DAY. Such Purchaser shall have received, each dated the date of the Initial Closing Day:</w:t>
      </w:r>
    </w:p>
    <w:p>
      <w:pPr>
        <w:spacing w:after="0" w:line="161" w:lineRule="exact"/>
        <w:rPr>
          <w:sz w:val="20"/>
          <w:szCs w:val="20"/>
          <w:color w:val="auto"/>
        </w:rPr>
      </w:pPr>
    </w:p>
    <w:p>
      <w:pPr>
        <w:ind w:left="1880" w:hanging="334"/>
        <w:spacing w:after="0"/>
        <w:tabs>
          <w:tab w:leader="none" w:pos="1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duly executed by the parties hereto;</w:t>
      </w:r>
    </w:p>
    <w:p>
      <w:pPr>
        <w:spacing w:after="0" w:line="170"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the resolutions of the Board of Directors of the Company authorizing the execution and delivery of this Agreement and the issuance of the Notes, and of all documents evidencing other necessary corporate action and governmental approvals, if any, with respect to this Agreement and the Notes;</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206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 Assistant Secretary and one other officer of the Company certifying the names and true signatures of the officers of the Company authorized to sign this Agreement and the Notes and the other documents to be delivered hereunder;</w:t>
      </w:r>
    </w:p>
    <w:p>
      <w:pPr>
        <w:spacing w:after="0" w:line="163" w:lineRule="exact"/>
        <w:rPr>
          <w:rFonts w:ascii="Courier New" w:cs="Courier New" w:eastAsia="Courier New" w:hAnsi="Courier New"/>
          <w:sz w:val="14"/>
          <w:szCs w:val="14"/>
          <w:color w:val="auto"/>
        </w:rPr>
      </w:pPr>
    </w:p>
    <w:p>
      <w:pPr>
        <w:ind w:left="1980" w:hanging="434"/>
        <w:spacing w:after="0"/>
        <w:tabs>
          <w:tab w:leader="none" w:pos="19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the Articles of Incorporation and</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By-laws of the Company;</w:t>
      </w:r>
    </w:p>
    <w:p>
      <w:pPr>
        <w:spacing w:after="0" w:line="170" w:lineRule="exact"/>
        <w:rPr>
          <w:sz w:val="20"/>
          <w:szCs w:val="20"/>
          <w:color w:val="auto"/>
        </w:rPr>
      </w:pPr>
    </w:p>
    <w:p>
      <w:pPr>
        <w:ind w:left="780" w:right="3399" w:firstLine="766"/>
        <w:spacing w:after="0" w:line="249" w:lineRule="auto"/>
        <w:tabs>
          <w:tab w:leader="none" w:pos="189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good standing certificate for the Company from the Secretary of State of Florida dated of a recent date and good standing and such other evidence of the status of the Company as such Purchaser may reasonably request;</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Moore Van Allen, PLLC, special counsel to the Company (or such other counsel designated by the Company and acceptable to the Purchaser(s)) satisfactory to such Purchaser and substantially in the form of Exhibit D-1 attached hereto and as to such other matters as such Purchaser may reasonably request. The Company hereby directs each such counsel to deliver such opinion, agrees that the issuance and sale of any Notes will constitute a reconfirmation of such direction, and understands and agrees that each Purchaser receiving such an opinion will and is hereby authorized to rely on such opinion;</w:t>
      </w:r>
    </w:p>
    <w:p>
      <w:pPr>
        <w:spacing w:after="0" w:line="326" w:lineRule="exact"/>
        <w:rPr>
          <w:rFonts w:ascii="Courier New" w:cs="Courier New" w:eastAsia="Courier New" w:hAnsi="Courier New"/>
          <w:sz w:val="14"/>
          <w:szCs w:val="14"/>
          <w:color w:val="auto"/>
        </w:rPr>
      </w:pPr>
    </w:p>
    <w:p>
      <w:pPr>
        <w:ind w:left="780" w:right="3399" w:firstLine="766"/>
        <w:spacing w:after="0" w:line="249" w:lineRule="auto"/>
        <w:tabs>
          <w:tab w:leader="none" w:pos="206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Greenberg Traurig Hoffman Lipoff Rosen &amp; Quentel P.A., special Florida counsel to the Company (or such other counsel designated by the Company and acceptable to the Purchaser(s)) satisfactory to such Purchaser and substantially in the form of Exhibit D-2 attached hereto and as to such other matters as</w:t>
      </w:r>
    </w:p>
    <w:p>
      <w:pPr>
        <w:sectPr>
          <w:pgSz w:w="11900" w:h="16838" w:orient="portrait"/>
          <w:cols w:equalWidth="0" w:num="1">
            <w:col w:w="10159"/>
          </w:cols>
          <w:pgMar w:left="300" w:top="448" w:right="1440" w:bottom="1440" w:gutter="0" w:footer="0" w:header="0"/>
        </w:sectPr>
      </w:pPr>
    </w:p>
    <w:bookmarkStart w:id="83" w:name="page84"/>
    <w:bookmarkEnd w:id="83"/>
    <w:p>
      <w:pPr>
        <w:jc w:val="right"/>
        <w:ind w:right="3319"/>
        <w:spacing w:after="0"/>
        <w:rPr>
          <w:sz w:val="20"/>
          <w:szCs w:val="20"/>
          <w:color w:val="auto"/>
        </w:rPr>
      </w:pPr>
      <w:r>
        <w:rPr>
          <w:rFonts w:ascii="Courier New" w:cs="Courier New" w:eastAsia="Courier New" w:hAnsi="Courier New"/>
          <w:sz w:val="14"/>
          <w:szCs w:val="14"/>
          <w:color w:val="auto"/>
        </w:rPr>
        <w:t>8</w:t>
      </w:r>
    </w:p>
    <w:p>
      <w:pPr>
        <w:spacing w:after="0" w:line="334" w:lineRule="exact"/>
        <w:rPr>
          <w:sz w:val="20"/>
          <w:szCs w:val="20"/>
          <w:color w:val="auto"/>
        </w:rPr>
      </w:pPr>
    </w:p>
    <w:p>
      <w:pPr>
        <w:ind w:left="780" w:right="3319"/>
        <w:spacing w:after="0" w:line="249" w:lineRule="auto"/>
        <w:rPr>
          <w:sz w:val="20"/>
          <w:szCs w:val="20"/>
          <w:color w:val="auto"/>
        </w:rPr>
      </w:pPr>
      <w:r>
        <w:rPr>
          <w:rFonts w:ascii="Courier New" w:cs="Courier New" w:eastAsia="Courier New" w:hAnsi="Courier New"/>
          <w:sz w:val="14"/>
          <w:szCs w:val="14"/>
          <w:color w:val="auto"/>
        </w:rPr>
        <w:t>such Purchaser may reasonably request. The Company hereby directs each such counsel to deliver such opinion, agrees that the issuance and sale of any Notes will constitute a reconfirmation of such direction, and understands and agrees that each Purchaser receiving such an opinion will and is hereby authorized to rely on such opinion; and</w:t>
      </w:r>
    </w:p>
    <w:p>
      <w:pPr>
        <w:spacing w:after="0" w:line="163" w:lineRule="exact"/>
        <w:rPr>
          <w:sz w:val="20"/>
          <w:szCs w:val="20"/>
          <w:color w:val="auto"/>
        </w:rPr>
      </w:pPr>
    </w:p>
    <w:p>
      <w:pPr>
        <w:ind w:left="780" w:right="3319" w:firstLine="766"/>
        <w:spacing w:after="0" w:line="249" w:lineRule="auto"/>
        <w:tabs>
          <w:tab w:leader="none" w:pos="2147"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documents or certificates with respect to legal matters or corporate or other proceedings related to the transactions contemplated hereby as may be reasonably requested by such Purchaser.</w:t>
      </w:r>
    </w:p>
    <w:p>
      <w:pPr>
        <w:spacing w:after="0" w:line="163" w:lineRule="exact"/>
        <w:rPr>
          <w:sz w:val="20"/>
          <w:szCs w:val="20"/>
          <w:color w:val="auto"/>
        </w:rPr>
      </w:pPr>
    </w:p>
    <w:p>
      <w:pPr>
        <w:jc w:val="both"/>
        <w:ind w:right="3479" w:firstLine="769"/>
        <w:spacing w:after="0" w:line="250" w:lineRule="auto"/>
        <w:rPr>
          <w:sz w:val="20"/>
          <w:szCs w:val="20"/>
          <w:color w:val="auto"/>
        </w:rPr>
      </w:pPr>
      <w:r>
        <w:rPr>
          <w:rFonts w:ascii="Courier New" w:cs="Courier New" w:eastAsia="Courier New" w:hAnsi="Courier New"/>
          <w:sz w:val="14"/>
          <w:szCs w:val="14"/>
          <w:color w:val="auto"/>
        </w:rPr>
        <w:t>3A(2) INITIAL FUNDING DAY. Such Purchaser shall have received (if not previously delivered), in addition to the matters covered in paragraph 3A(3), each dated the date of the Initial Funding Day:</w:t>
      </w:r>
    </w:p>
    <w:p>
      <w:pPr>
        <w:spacing w:after="0" w:line="162" w:lineRule="exact"/>
        <w:rPr>
          <w:sz w:val="20"/>
          <w:szCs w:val="20"/>
          <w:color w:val="auto"/>
        </w:rPr>
      </w:pPr>
    </w:p>
    <w:p>
      <w:pPr>
        <w:ind w:left="1880" w:hanging="334"/>
        <w:spacing w:after="0"/>
        <w:tabs>
          <w:tab w:leader="none" w:pos="18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Guaranty Agreement duly executed by the applicable</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w:t>
      </w:r>
    </w:p>
    <w:p>
      <w:pPr>
        <w:spacing w:after="0" w:line="170" w:lineRule="exact"/>
        <w:rPr>
          <w:rFonts w:ascii="Courier New" w:cs="Courier New" w:eastAsia="Courier New" w:hAnsi="Courier New"/>
          <w:sz w:val="14"/>
          <w:szCs w:val="14"/>
          <w:color w:val="auto"/>
        </w:rPr>
      </w:pPr>
    </w:p>
    <w:p>
      <w:pPr>
        <w:ind w:left="780" w:right="3399" w:firstLine="766"/>
        <w:spacing w:after="0" w:line="249" w:lineRule="auto"/>
        <w:tabs>
          <w:tab w:leader="none" w:pos="197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the resolutions of the Board of Directors of each Guarantor authorizing the execution and delivery its Guaranty Agreement and of all documents evidencing other necessary corporate action and governmental approvals, if any, with respect to its Guaranty Agreement;</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206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 Assistant Secretary and one other officer of each Guarantor certifying the names and true signatures of the officers of such Guarantor authorized to sign its Guaranty Agreement and the other documents to be delivered thereunder;</w:t>
      </w:r>
    </w:p>
    <w:p>
      <w:pPr>
        <w:spacing w:after="0" w:line="163" w:lineRule="exact"/>
        <w:rPr>
          <w:rFonts w:ascii="Courier New" w:cs="Courier New" w:eastAsia="Courier New" w:hAnsi="Courier New"/>
          <w:sz w:val="14"/>
          <w:szCs w:val="14"/>
          <w:color w:val="auto"/>
        </w:rPr>
      </w:pPr>
    </w:p>
    <w:p>
      <w:pPr>
        <w:ind w:left="1980" w:hanging="434"/>
        <w:spacing w:after="0"/>
        <w:tabs>
          <w:tab w:leader="none" w:pos="19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the Articles of Incorporation and</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By-laws of each Guarantor;</w:t>
      </w:r>
    </w:p>
    <w:p>
      <w:pPr>
        <w:spacing w:after="0" w:line="170" w:lineRule="exact"/>
        <w:rPr>
          <w:sz w:val="20"/>
          <w:szCs w:val="20"/>
          <w:color w:val="auto"/>
        </w:rPr>
      </w:pPr>
    </w:p>
    <w:p>
      <w:pPr>
        <w:ind w:left="780" w:right="3319" w:firstLine="766"/>
        <w:spacing w:after="0" w:line="249" w:lineRule="auto"/>
        <w:tabs>
          <w:tab w:leader="none" w:pos="189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good standing certificate for each Guarantor from the Secretary of State of the State of its formation dated of a recent date and good standing or other certificates of qualification to do business as a foreign corporation each Guarantor in the States specified on Schedule 3A and such other evidence of the status of such Guarantor as such Purchaser may reasonably request;</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Moore Van Allen, PLLC, special counsel to the Company (or such other counsel designated by the Company and acceptable to the Purchaser(s)) satisfactory to such Purchaser and substantially in the form of Exhibit D-3 attached hereto and as to such other matters as such Purchaser may reasonably request. The Company hereby directs each such counsel to deliver such opinion, agrees that the issuance and sale of any Notes will constitute a reconfirmation of such direction, and understands and agrees that each Purchaser receiving such an opinion will and is hereby authorized to rely on such opinion;</w:t>
      </w:r>
    </w:p>
    <w:p>
      <w:pPr>
        <w:spacing w:after="0" w:line="326" w:lineRule="exact"/>
        <w:rPr>
          <w:rFonts w:ascii="Courier New" w:cs="Courier New" w:eastAsia="Courier New" w:hAnsi="Courier New"/>
          <w:sz w:val="14"/>
          <w:szCs w:val="14"/>
          <w:color w:val="auto"/>
        </w:rPr>
      </w:pPr>
    </w:p>
    <w:p>
      <w:pPr>
        <w:ind w:left="780" w:right="3399" w:firstLine="766"/>
        <w:spacing w:after="0" w:line="249" w:lineRule="auto"/>
        <w:tabs>
          <w:tab w:leader="none" w:pos="206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Greenberg Traurig Hoffman Lipoff Rosen &amp; Quentel P.A., special Florida counsel to the Company (or such other counsel designated by the Company and acceptable to the Purchaser(s)) satisfactory to such Purchaser and substantially in the form of Exhibit D-4 attached hereto and as to such other matters as such Purchaser may reasonably request. The Company hereby directs each such counsel</w:t>
      </w:r>
    </w:p>
    <w:p>
      <w:pPr>
        <w:sectPr>
          <w:pgSz w:w="11900" w:h="16838" w:orient="portrait"/>
          <w:cols w:equalWidth="0" w:num="1">
            <w:col w:w="10159"/>
          </w:cols>
          <w:pgMar w:left="300" w:top="448" w:right="1440" w:bottom="1440" w:gutter="0" w:footer="0" w:header="0"/>
        </w:sectPr>
      </w:pPr>
    </w:p>
    <w:bookmarkStart w:id="84" w:name="page85"/>
    <w:bookmarkEnd w:id="84"/>
    <w:p>
      <w:pPr>
        <w:jc w:val="right"/>
        <w:ind w:right="3319"/>
        <w:spacing w:after="0"/>
        <w:rPr>
          <w:sz w:val="20"/>
          <w:szCs w:val="20"/>
          <w:color w:val="auto"/>
        </w:rPr>
      </w:pPr>
      <w:r>
        <w:rPr>
          <w:rFonts w:ascii="Courier New" w:cs="Courier New" w:eastAsia="Courier New" w:hAnsi="Courier New"/>
          <w:sz w:val="14"/>
          <w:szCs w:val="14"/>
          <w:color w:val="auto"/>
        </w:rPr>
        <w:t>9</w:t>
      </w:r>
    </w:p>
    <w:p>
      <w:pPr>
        <w:spacing w:after="0" w:line="334" w:lineRule="exact"/>
        <w:rPr>
          <w:sz w:val="20"/>
          <w:szCs w:val="20"/>
          <w:color w:val="auto"/>
        </w:rPr>
      </w:pPr>
    </w:p>
    <w:p>
      <w:pPr>
        <w:jc w:val="both"/>
        <w:ind w:left="780" w:right="3319"/>
        <w:spacing w:after="0" w:line="249" w:lineRule="auto"/>
        <w:rPr>
          <w:sz w:val="20"/>
          <w:szCs w:val="20"/>
          <w:color w:val="auto"/>
        </w:rPr>
      </w:pPr>
      <w:r>
        <w:rPr>
          <w:rFonts w:ascii="Courier New" w:cs="Courier New" w:eastAsia="Courier New" w:hAnsi="Courier New"/>
          <w:sz w:val="14"/>
          <w:szCs w:val="14"/>
          <w:color w:val="auto"/>
        </w:rPr>
        <w:t>to deliver such opinion, agrees that the issuance and sale of any Notes will constitute a reconfirmation of such direction, and understands and agrees that each Purchaser receiving such an opinion will and is hereby authorized to rely on such opinion;</w:t>
      </w:r>
    </w:p>
    <w:p>
      <w:pPr>
        <w:spacing w:after="0" w:line="163" w:lineRule="exact"/>
        <w:rPr>
          <w:sz w:val="20"/>
          <w:szCs w:val="20"/>
          <w:color w:val="auto"/>
        </w:rPr>
      </w:pPr>
    </w:p>
    <w:p>
      <w:pPr>
        <w:ind w:left="780" w:right="3319" w:firstLine="766"/>
        <w:spacing w:after="0" w:line="249" w:lineRule="auto"/>
        <w:tabs>
          <w:tab w:leader="none" w:pos="214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documents or certificates with respect to legal matters or corporate or other proceedings related to the transactions contemplated hereby as may be reasonably requested by such Purchaser.</w:t>
      </w:r>
    </w:p>
    <w:p>
      <w:pPr>
        <w:spacing w:after="0" w:line="163"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3A(3) SUBSEQUENT CLOSING DAY. Such Purchaser shall have received, each dated the date of the applicable Closing Day:</w:t>
      </w:r>
    </w:p>
    <w:p>
      <w:pPr>
        <w:spacing w:after="0" w:line="161" w:lineRule="exact"/>
        <w:rPr>
          <w:sz w:val="20"/>
          <w:szCs w:val="20"/>
          <w:color w:val="auto"/>
        </w:rPr>
      </w:pPr>
    </w:p>
    <w:p>
      <w:pPr>
        <w:ind w:left="780" w:right="3319" w:firstLine="766"/>
        <w:spacing w:after="0" w:line="249" w:lineRule="auto"/>
        <w:tabs>
          <w:tab w:leader="none" w:pos="189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the resolutions of the Board of Directors of the Company authorizing the execution and delivery and the issuance of the Notes on such Closing Day, and of all documents evidencing other necessary corporate action and governmental approvals, if any, with respect to such Notes;</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 Assistant Secretary and one other officer of the Company certifying the names and true signatures of the officers of the Company authorized to sign such Notes and the other documents to be delivered hereunder;</w:t>
      </w:r>
    </w:p>
    <w:p>
      <w:pPr>
        <w:spacing w:after="0" w:line="163" w:lineRule="exact"/>
        <w:rPr>
          <w:rFonts w:ascii="Courier New" w:cs="Courier New" w:eastAsia="Courier New" w:hAnsi="Courier New"/>
          <w:sz w:val="14"/>
          <w:szCs w:val="14"/>
          <w:color w:val="auto"/>
        </w:rPr>
      </w:pPr>
    </w:p>
    <w:p>
      <w:pPr>
        <w:ind w:left="780" w:right="3479" w:firstLine="766"/>
        <w:spacing w:after="0" w:line="250" w:lineRule="auto"/>
        <w:tabs>
          <w:tab w:leader="none" w:pos="2062"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the Articles of Incorporation and By-laws of the Company or confirmation that there have been no modifications to such documents delivered on the Initial Closing Day;</w:t>
      </w:r>
    </w:p>
    <w:p>
      <w:pPr>
        <w:spacing w:after="0" w:line="161" w:lineRule="exact"/>
        <w:rPr>
          <w:rFonts w:ascii="Courier New" w:cs="Courier New" w:eastAsia="Courier New" w:hAnsi="Courier New"/>
          <w:sz w:val="14"/>
          <w:szCs w:val="14"/>
          <w:color w:val="auto"/>
        </w:rPr>
      </w:pPr>
    </w:p>
    <w:p>
      <w:pPr>
        <w:ind w:left="780" w:right="3399" w:firstLine="766"/>
        <w:spacing w:after="0" w:line="249" w:lineRule="auto"/>
        <w:tabs>
          <w:tab w:leader="none" w:pos="1976"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good standing certificate for the Company from the Secretary of State of Florida dated of a recent date and good standing and such other evidence of the status of the Company as such Purchaser may reasonably request; and</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Moore Van Allen, PLLC, special counsel to the Company (or such other counsel designated by the Company and acceptable to the Purchaser(s)) satisfactory to such Purchaser and substantially in the form of Exhibit D-5 attached hereto and as to such other matters as such Purchaser may reasonably request. The Company hereby directs each such counsel to deliver such opinion, agrees that the issuance and sale of any Notes will constitute a reconfirmation of such direction, and understands and agrees that each Purchaser receiving such an opinion will and is hereby authorized to rely on such opinion.</w:t>
      </w:r>
    </w:p>
    <w:p>
      <w:pPr>
        <w:spacing w:after="0" w:line="326"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Greenberg Traurig Hoffman Lipoff Rosen &amp; Quentel P.A., special Florida counsel to the Company (or such other counsel designated by the Company and acceptable to the Purchaser(s)) satisfactory to such Purchaser and substantially in the form of Exhibit D-6 attached hereto and as to such other matters as such Purchaser may reasonably request. The Company hereby directs each such counsel to deliver such opinion, agrees that the issuance and sale of any Notes will constitute a reconfirmation of such direction, and understands and agrees that each Purchaser receiving such an opinion will and is hereby authorized to rely on such opinion.</w:t>
      </w:r>
    </w:p>
    <w:p>
      <w:pPr>
        <w:sectPr>
          <w:pgSz w:w="11900" w:h="16838" w:orient="portrait"/>
          <w:cols w:equalWidth="0" w:num="1">
            <w:col w:w="10159"/>
          </w:cols>
          <w:pgMar w:left="300" w:top="448" w:right="1440" w:bottom="1440" w:gutter="0" w:footer="0" w:header="0"/>
        </w:sectPr>
      </w:pPr>
    </w:p>
    <w:bookmarkStart w:id="85" w:name="page86"/>
    <w:bookmarkEnd w:id="85"/>
    <w:p>
      <w:pPr>
        <w:jc w:val="right"/>
        <w:ind w:right="3319"/>
        <w:spacing w:after="0"/>
        <w:rPr>
          <w:sz w:val="20"/>
          <w:szCs w:val="20"/>
          <w:color w:val="auto"/>
        </w:rPr>
      </w:pPr>
      <w:r>
        <w:rPr>
          <w:rFonts w:ascii="Courier New" w:cs="Courier New" w:eastAsia="Courier New" w:hAnsi="Courier New"/>
          <w:sz w:val="14"/>
          <w:szCs w:val="14"/>
          <w:color w:val="auto"/>
        </w:rPr>
        <w:t>10</w:t>
      </w:r>
    </w:p>
    <w:p>
      <w:pPr>
        <w:spacing w:after="0" w:line="334" w:lineRule="exact"/>
        <w:rPr>
          <w:sz w:val="20"/>
          <w:szCs w:val="20"/>
          <w:color w:val="auto"/>
        </w:rPr>
      </w:pPr>
    </w:p>
    <w:p>
      <w:pPr>
        <w:ind w:left="780" w:right="3479" w:firstLine="766"/>
        <w:spacing w:after="0" w:line="249" w:lineRule="auto"/>
        <w:tabs>
          <w:tab w:leader="none" w:pos="206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Private Placement number issued by Standard &amp; Poor's CUSIP Service Bureau (in cooperation with the Securities Valuation Office of the National Association of Insurance Commissioners) shall have been obtained for the Notes to be purchased.</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214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documents or certificates with respect to legal matters or corporate or other proceedings related to the transactions contemplated hereby as may be reasonably requested by such Purchaser.</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3B. OPINION OF PURCHASER'S SPECIAL COUNSEL. Such Purchaser shall have received from King &amp; Spalding or such other counsel who is acting as special counsel for it in connection with this transaction, a favorable opinion satisfactory to such Purchaser as to such matters incident to the matters herein contemplated as it may reasonably request.</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3C. REPRESENTATIONS AND WARRANTIES; NO DEFAULT. The representations and warranties contained in paragraph 8 shall be true on and as of such Closing Day, except to the extent of changes caused by the transactions herein contemplated and for any Closing Day after the Initial Closing Day changes since the date of this Agreement which are disclosed in writing to Prudential and to which Prudential shall have consented in writing; there shall exist on such Closing Day no Event of Default or Default; and the Company shall have delivered to such Purchaser an Officer's Certificate, dated such Closing Day, to both such effects.</w:t>
      </w:r>
    </w:p>
    <w:p>
      <w:pPr>
        <w:spacing w:after="0" w:line="327"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3D. PURCHASE PERMITTED BY APPLICABLE LAWS. The purchase of and payment for the Notes to be purchased by such Purchaser on the terms and conditions herein provided (including the use of the proceeds of such Notes by the Company) shall not violate any applicable law or governmental regulation (including, without limitation, Section 5 of the Securities Act or Regulation T, U or X of the Board of Governors of the Federal Reserve System) and shall not subject such Purchaser to any tax (other than any income taxes arising from such Purchaser's ownership of the Notes), penalty, liability or other onerous condition under or pursuant to any applicable law or governmental regulation, and such Purchaser shall have received such certificates or other evidence as it may request to establish compliance with this condition.</w:t>
      </w:r>
    </w:p>
    <w:p>
      <w:pPr>
        <w:spacing w:after="0" w:line="169" w:lineRule="exact"/>
        <w:rPr>
          <w:sz w:val="20"/>
          <w:szCs w:val="20"/>
          <w:color w:val="auto"/>
        </w:rPr>
      </w:pPr>
    </w:p>
    <w:p>
      <w:pPr>
        <w:jc w:val="both"/>
        <w:ind w:right="3319" w:firstLine="769"/>
        <w:spacing w:after="0" w:line="249" w:lineRule="auto"/>
        <w:rPr>
          <w:sz w:val="20"/>
          <w:szCs w:val="20"/>
          <w:color w:val="auto"/>
        </w:rPr>
      </w:pPr>
      <w:r>
        <w:rPr>
          <w:rFonts w:ascii="Courier New" w:cs="Courier New" w:eastAsia="Courier New" w:hAnsi="Courier New"/>
          <w:sz w:val="14"/>
          <w:szCs w:val="14"/>
          <w:color w:val="auto"/>
        </w:rPr>
        <w:t>3E. PAYMENT OF FEES. The Company shall have paid to Prudential any fees due it pursuant to or in connection with this Agreement, including any Facility Fee due pursuant to paragraph 2I(1), any Issuance Fee due pursuant to paragraph 2I(2) and any Delayed Delivery Fee due pursuant to paragraph 2I(3) and any fees and expenses of its legal counsel.</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3F. NO MATERIAL ADVERSE CHANGE. Prudential shall have received a certificate from the chief financial officer of the Company, dated the applicable Closing Day, saying that no material adverse change in the financial condition, business, operations or prospects of the Company or its Subsidiaries, taken as a whole, has occurred since December 31, 1998.</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3G. GUARANTY AGREEMENTS. Each Guaranty Agreement, on and after the date of its execution and delivery, shall remain in full force and effect, and the Company shall have delivered an Officer's Certificate, dated such Closing Day, to such effect.</w:t>
      </w:r>
    </w:p>
    <w:p>
      <w:pPr>
        <w:spacing w:after="0" w:line="163" w:lineRule="exact"/>
        <w:rPr>
          <w:sz w:val="20"/>
          <w:szCs w:val="20"/>
          <w:color w:val="auto"/>
        </w:rPr>
      </w:pPr>
    </w:p>
    <w:p>
      <w:pPr>
        <w:ind w:right="3319" w:firstLine="777"/>
        <w:spacing w:after="0" w:line="249" w:lineRule="auto"/>
        <w:tabs>
          <w:tab w:leader="none" w:pos="102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PREPAYMENTS. Any Shelf Notes shall be subject to required prepayment as and to the extent provided in paragraph 4A. Any Shelf Notes shall also be subject to prepayment under the circumstances set forth in paragraph 4B. Any prepayment made by the Company</w:t>
      </w:r>
    </w:p>
    <w:p>
      <w:pPr>
        <w:sectPr>
          <w:pgSz w:w="11900" w:h="16838" w:orient="portrait"/>
          <w:cols w:equalWidth="0" w:num="1">
            <w:col w:w="10159"/>
          </w:cols>
          <w:pgMar w:left="300" w:top="448" w:right="1440" w:bottom="1440" w:gutter="0" w:footer="0" w:header="0"/>
        </w:sectPr>
      </w:pPr>
    </w:p>
    <w:bookmarkStart w:id="86" w:name="page87"/>
    <w:bookmarkEnd w:id="86"/>
    <w:p>
      <w:pPr>
        <w:jc w:val="right"/>
        <w:ind w:right="3319"/>
        <w:spacing w:after="0"/>
        <w:rPr>
          <w:sz w:val="20"/>
          <w:szCs w:val="20"/>
          <w:color w:val="auto"/>
        </w:rPr>
      </w:pPr>
      <w:r>
        <w:rPr>
          <w:rFonts w:ascii="Courier New" w:cs="Courier New" w:eastAsia="Courier New" w:hAnsi="Courier New"/>
          <w:sz w:val="14"/>
          <w:szCs w:val="14"/>
          <w:color w:val="auto"/>
        </w:rPr>
        <w:t>11</w:t>
      </w:r>
    </w:p>
    <w:p>
      <w:pPr>
        <w:spacing w:after="0" w:line="334"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4"/>
          <w:szCs w:val="14"/>
          <w:color w:val="auto"/>
        </w:rPr>
        <w:t>pursuant to any other provision of this paragraph 4 shall not reduce or otherwise affect its obligation to make any required prepayment as specified in paragraph 4A.</w:t>
      </w:r>
    </w:p>
    <w:p>
      <w:pPr>
        <w:spacing w:after="0" w:line="162"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4A. REQUIRED PREPAYMENTS OF SHELF NOTES. Each Series of Shelf Notes shall be subject to required prepayments, if any, set forth in the Notes of such Series.</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4B. OPTIONAL PREPAYMENT WITH YIELD-MAINTENANCE AMOUNT. The Notes of each Series shall be subject to prepayment, in whole at any time or from time to time in part (in integral multiples of $1,000,000 and in a minimum amount of $5,000,000), at the option of the Company, at 100% of the principal amount so prepaid plus interest thereon to the prepayment date and the Yield-Maintenance Amount, if any, with respect to each such Note. Any partial prepayment of a Series of the Notes pursuant to this paragraph 4B shall be applied in satisfaction of required payments of principal in inverse order of their scheduled due dates.</w:t>
      </w:r>
    </w:p>
    <w:p>
      <w:pPr>
        <w:spacing w:after="0" w:line="162"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4C. NOTICE OF OPTIONAL PREPAYMENT. The Company shall give the holder of each Note of a Series to be prepaid pursuant to paragraph 4B irrevocable written notice of such prepayment not less than 10 Business Days prior to the prepayment date, specifying such prepayment date, the aggregate principal amount of the Notes of such Series to be prepaid on such date, the principal amount of the Notes of such Series held by such holder to be prepaid on that date and that such prepayment is to be made pursuant to paragraph 4B. Notice of prepayment having been given as aforesaid, the principal amount of the Notes specified in such notice, together with interest thereon to the prepayment date and together with the Yield-Maintenance Amount, if any, herein provided, shall become due and payable on such prepayment date. The Company shall, on or before the day on which it gives written notice of any prepayment pursuant to paragraph 4B, give telephonic notice of the principal amount of the Notes to be prepaid and the prepayment date to each Significant Holder which shall have designated a recipient for such notices in the Purchaser Schedule attached hereto or the applicable Confirmation of Acceptance or by notice in writing to the Company.</w:t>
      </w:r>
    </w:p>
    <w:p>
      <w:pPr>
        <w:spacing w:after="0" w:line="171"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4D. APPLICATION OF PREPAYMENTS. In the case of each prepayment of less than the entire unpaid principal amount of all outstanding Notes of any Series pursuant to paragraphs 4A or 4B, the amount to be prepaid shall be applied pro rata to all outstanding Notes of such Series (including, for the purpose of this paragraph 4D only, all Notes prepaid or otherwise retired or purchased or otherwise acquired by the Company or any of its Subsidiaries or Affiliates other than by prepayment pursuant to paragraph 4A or 4B) according to the respective unpaid principal amounts thereof.</w:t>
      </w:r>
    </w:p>
    <w:p>
      <w:pPr>
        <w:spacing w:after="0" w:line="163"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4E. RETIREMENT OF NOTES. The Company shall not, and shall not permit any of its Subsidiaries or Affiliates to, prepay or otherwise retire in whole or in part prior to their stated final maturity (other than by prepayment pursuant to paragraphs 4A or 4B or upon acceleration of such final maturity pursuant to paragraph 7A), or purchase or otherwise acquire, directly or indirectly, Notes of any Series held by any holder unless the Company or such Subsidiary or Affiliate shall have offered to prepay or otherwise retire or purchase or otherwise acquire, as the case may be, the same proportion of the aggregate principal amount of Notes of such Series held by each other holder of Notes of such Series at the time outstanding upon the same terms and conditions. Any Notes so prepaid or otherwise retired or purchased or otherwise acquired by the</w:t>
      </w:r>
    </w:p>
    <w:p>
      <w:pPr>
        <w:sectPr>
          <w:pgSz w:w="11900" w:h="16838" w:orient="portrait"/>
          <w:cols w:equalWidth="0" w:num="1">
            <w:col w:w="10159"/>
          </w:cols>
          <w:pgMar w:left="300" w:top="448" w:right="1440" w:bottom="1440" w:gutter="0" w:footer="0" w:header="0"/>
        </w:sectPr>
      </w:pPr>
    </w:p>
    <w:bookmarkStart w:id="87" w:name="page88"/>
    <w:bookmarkEnd w:id="87"/>
    <w:p>
      <w:pPr>
        <w:jc w:val="right"/>
        <w:ind w:right="3319"/>
        <w:spacing w:after="0"/>
        <w:rPr>
          <w:sz w:val="20"/>
          <w:szCs w:val="20"/>
          <w:color w:val="auto"/>
        </w:rPr>
      </w:pPr>
      <w:r>
        <w:rPr>
          <w:rFonts w:ascii="Courier New" w:cs="Courier New" w:eastAsia="Courier New" w:hAnsi="Courier New"/>
          <w:sz w:val="14"/>
          <w:szCs w:val="14"/>
          <w:color w:val="auto"/>
        </w:rPr>
        <w:t>12</w:t>
      </w:r>
    </w:p>
    <w:p>
      <w:pPr>
        <w:spacing w:after="0" w:line="334" w:lineRule="exact"/>
        <w:rPr>
          <w:sz w:val="20"/>
          <w:szCs w:val="20"/>
          <w:color w:val="auto"/>
        </w:rPr>
      </w:pPr>
    </w:p>
    <w:p>
      <w:pPr>
        <w:ind w:right="3819"/>
        <w:spacing w:after="0" w:line="250" w:lineRule="auto"/>
        <w:rPr>
          <w:sz w:val="20"/>
          <w:szCs w:val="20"/>
          <w:color w:val="auto"/>
        </w:rPr>
      </w:pPr>
      <w:r>
        <w:rPr>
          <w:rFonts w:ascii="Courier New" w:cs="Courier New" w:eastAsia="Courier New" w:hAnsi="Courier New"/>
          <w:sz w:val="14"/>
          <w:szCs w:val="14"/>
          <w:color w:val="auto"/>
        </w:rPr>
        <w:t>Company or any of its Subsidiaries or Affiliates shall not be deemed to be outstanding for any purpose under this Agreement, except as provided in paragraph 4D.</w:t>
      </w:r>
    </w:p>
    <w:p>
      <w:pPr>
        <w:spacing w:after="0" w:line="162" w:lineRule="exact"/>
        <w:rPr>
          <w:sz w:val="20"/>
          <w:szCs w:val="20"/>
          <w:color w:val="auto"/>
        </w:rPr>
      </w:pPr>
    </w:p>
    <w:p>
      <w:pPr>
        <w:ind w:left="780" w:right="7079" w:hanging="3"/>
        <w:spacing w:after="0" w:line="497" w:lineRule="auto"/>
        <w:tabs>
          <w:tab w:leader="none" w:pos="1036"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AFFIRMATIVE COVENANTS. 5A. REPORTING REQUIREMENTS.</w:t>
      </w:r>
    </w:p>
    <w:p>
      <w:pPr>
        <w:ind w:right="3479" w:firstLine="769"/>
        <w:spacing w:after="0" w:line="251" w:lineRule="auto"/>
        <w:rPr>
          <w:sz w:val="20"/>
          <w:szCs w:val="20"/>
          <w:color w:val="auto"/>
        </w:rPr>
      </w:pPr>
      <w:r>
        <w:rPr>
          <w:rFonts w:ascii="Courier New" w:cs="Courier New" w:eastAsia="Courier New" w:hAnsi="Courier New"/>
          <w:sz w:val="14"/>
          <w:szCs w:val="14"/>
          <w:color w:val="auto"/>
        </w:rPr>
        <w:t>5A(1) GENERAL INFORMATION. The Company covenants that it will deliver to each Significant Holder:</w:t>
      </w:r>
    </w:p>
    <w:p>
      <w:pPr>
        <w:spacing w:after="0" w:line="161" w:lineRule="exact"/>
        <w:rPr>
          <w:sz w:val="20"/>
          <w:szCs w:val="20"/>
          <w:color w:val="auto"/>
        </w:rPr>
      </w:pPr>
    </w:p>
    <w:p>
      <w:pPr>
        <w:ind w:left="780" w:right="3319" w:firstLine="766"/>
        <w:spacing w:after="0" w:line="250" w:lineRule="auto"/>
        <w:tabs>
          <w:tab w:leader="none" w:pos="1891"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and in any event within 45 days after the end of each quarterly period (other than the fourth quarterly period) in each fiscal year,</w:t>
      </w:r>
    </w:p>
    <w:p>
      <w:pPr>
        <w:spacing w:after="0" w:line="161" w:lineRule="exact"/>
        <w:rPr>
          <w:rFonts w:ascii="Courier New" w:cs="Courier New" w:eastAsia="Courier New" w:hAnsi="Courier New"/>
          <w:sz w:val="14"/>
          <w:szCs w:val="14"/>
          <w:color w:val="auto"/>
        </w:rPr>
      </w:pPr>
    </w:p>
    <w:p>
      <w:pPr>
        <w:ind w:left="1540" w:right="3319" w:firstLine="775"/>
        <w:spacing w:after="0" w:line="250" w:lineRule="auto"/>
        <w:tabs>
          <w:tab w:leader="none" w:pos="2651"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income, stockholders' equity and cash flows for the period from the beginning of the current fiscal year to the end of such quarterly period, and</w:t>
      </w:r>
    </w:p>
    <w:p>
      <w:pPr>
        <w:spacing w:after="0" w:line="161" w:lineRule="exact"/>
        <w:rPr>
          <w:rFonts w:ascii="Courier New" w:cs="Courier New" w:eastAsia="Courier New" w:hAnsi="Courier New"/>
          <w:sz w:val="14"/>
          <w:szCs w:val="14"/>
          <w:color w:val="auto"/>
        </w:rPr>
      </w:pPr>
    </w:p>
    <w:p>
      <w:pPr>
        <w:ind w:left="1540" w:right="3659" w:firstLine="775"/>
        <w:spacing w:after="0" w:line="251" w:lineRule="auto"/>
        <w:tabs>
          <w:tab w:leader="none" w:pos="2651"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balance sheet as at the end of such quarterly period,</w:t>
      </w:r>
    </w:p>
    <w:p>
      <w:pPr>
        <w:spacing w:after="0" w:line="161" w:lineRule="exact"/>
        <w:rPr>
          <w:sz w:val="20"/>
          <w:szCs w:val="20"/>
          <w:color w:val="auto"/>
        </w:rPr>
      </w:pPr>
    </w:p>
    <w:p>
      <w:pPr>
        <w:ind w:left="780" w:right="3319"/>
        <w:spacing w:after="0" w:line="248" w:lineRule="auto"/>
        <w:rPr>
          <w:sz w:val="20"/>
          <w:szCs w:val="20"/>
          <w:color w:val="auto"/>
        </w:rPr>
      </w:pPr>
      <w:r>
        <w:rPr>
          <w:rFonts w:ascii="Courier New" w:cs="Courier New" w:eastAsia="Courier New" w:hAnsi="Courier New"/>
          <w:sz w:val="14"/>
          <w:szCs w:val="14"/>
          <w:color w:val="auto"/>
        </w:rPr>
        <w:t>setting forth in each case in comparative form figures for the corresponding period in the preceding fiscal year, all in reasonable detail and reasonably satisfactory in form to the Required Holder(s) and certified by an authorized financial officer of the Company as fairly presenting, in all material respects, the financial condition of the Company and its Consolidated Subsidiaries as of the end of such period and the results of their operations for the period then ended in accordance with generally accepted accounting principles, subject to changes resulting from normal year-end adjustments and the inclusion of abbreviated footnotes; PROVIDED, HOWEVER, that delivery pursuant to clause (iii) below of copies of the Quarterly Report on Form 10-Q of the Company for such quarterly period filed with the Securities and Exchange Commission shall be deemed to satisfy the requirements of this clause (i);</w:t>
      </w:r>
    </w:p>
    <w:p>
      <w:pPr>
        <w:spacing w:after="0" w:line="170" w:lineRule="exact"/>
        <w:rPr>
          <w:sz w:val="20"/>
          <w:szCs w:val="20"/>
          <w:color w:val="auto"/>
        </w:rPr>
      </w:pPr>
    </w:p>
    <w:p>
      <w:pPr>
        <w:ind w:left="780" w:right="3579" w:firstLine="766"/>
        <w:spacing w:after="0" w:line="251" w:lineRule="auto"/>
        <w:tabs>
          <w:tab w:leader="none" w:pos="197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and in any event within 90 days after the end of each fiscal year,</w:t>
      </w:r>
    </w:p>
    <w:p>
      <w:pPr>
        <w:spacing w:after="0" w:line="161" w:lineRule="exact"/>
        <w:rPr>
          <w:rFonts w:ascii="Courier New" w:cs="Courier New" w:eastAsia="Courier New" w:hAnsi="Courier New"/>
          <w:sz w:val="14"/>
          <w:szCs w:val="14"/>
          <w:color w:val="auto"/>
        </w:rPr>
      </w:pPr>
    </w:p>
    <w:p>
      <w:pPr>
        <w:ind w:left="1540" w:right="3399" w:firstLine="775"/>
        <w:spacing w:after="0" w:line="251" w:lineRule="auto"/>
        <w:tabs>
          <w:tab w:leader="none" w:pos="2651"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income, stockholders' equity and cash flows for such year, and</w:t>
      </w:r>
    </w:p>
    <w:p>
      <w:pPr>
        <w:spacing w:after="0" w:line="161" w:lineRule="exact"/>
        <w:rPr>
          <w:rFonts w:ascii="Courier New" w:cs="Courier New" w:eastAsia="Courier New" w:hAnsi="Courier New"/>
          <w:sz w:val="14"/>
          <w:szCs w:val="14"/>
          <w:color w:val="auto"/>
        </w:rPr>
      </w:pPr>
    </w:p>
    <w:p>
      <w:pPr>
        <w:ind w:left="2660" w:hanging="345"/>
        <w:spacing w:after="0"/>
        <w:tabs>
          <w:tab w:leader="none" w:pos="266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balance sheet as at the end of</w:t>
      </w:r>
    </w:p>
    <w:p>
      <w:pPr>
        <w:spacing w:after="0" w:line="5" w:lineRule="exact"/>
        <w:rPr>
          <w:rFonts w:ascii="Courier New" w:cs="Courier New" w:eastAsia="Courier New" w:hAnsi="Courier New"/>
          <w:sz w:val="14"/>
          <w:szCs w:val="14"/>
          <w:color w:val="auto"/>
        </w:rPr>
      </w:pPr>
    </w:p>
    <w:p>
      <w:pPr>
        <w:ind w:left="15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such year,</w:t>
      </w:r>
    </w:p>
    <w:p>
      <w:pPr>
        <w:spacing w:after="0" w:line="170" w:lineRule="exact"/>
        <w:rPr>
          <w:sz w:val="20"/>
          <w:szCs w:val="20"/>
          <w:color w:val="auto"/>
        </w:rPr>
      </w:pPr>
    </w:p>
    <w:p>
      <w:pPr>
        <w:ind w:left="780" w:right="3319"/>
        <w:spacing w:after="0" w:line="249" w:lineRule="auto"/>
        <w:rPr>
          <w:sz w:val="20"/>
          <w:szCs w:val="20"/>
          <w:color w:val="auto"/>
        </w:rPr>
      </w:pPr>
      <w:r>
        <w:rPr>
          <w:rFonts w:ascii="Courier New" w:cs="Courier New" w:eastAsia="Courier New" w:hAnsi="Courier New"/>
          <w:sz w:val="14"/>
          <w:szCs w:val="14"/>
          <w:color w:val="auto"/>
        </w:rPr>
        <w:t>setting forth in each case in comparative form corresponding Consolidated figures from the preceding annual audit, all in reasonable detail and reasonably satisfactory in scope to the Required Holder(s) and reported on by independent public accountants of recognized standing selected by the Company whose report shall be without limitation as to the scope of the audit and reasonably satisfactory in substance to the Required Holder(s); PROVIDED, HOWEVER, that delivery pursuant to clause (iii) below of copies of the Annual Report on Form 10-K of the Company for such year filed with the Securities and Exchange Commission shall be deemed to satisfy the requirements of this clause (ii);</w:t>
      </w:r>
    </w:p>
    <w:p>
      <w:pPr>
        <w:sectPr>
          <w:pgSz w:w="11900" w:h="16838" w:orient="portrait"/>
          <w:cols w:equalWidth="0" w:num="1">
            <w:col w:w="10159"/>
          </w:cols>
          <w:pgMar w:left="300" w:top="448" w:right="1440" w:bottom="1440" w:gutter="0" w:footer="0" w:header="0"/>
        </w:sectPr>
      </w:pPr>
    </w:p>
    <w:bookmarkStart w:id="88" w:name="page89"/>
    <w:bookmarkEnd w:id="88"/>
    <w:p>
      <w:pPr>
        <w:jc w:val="right"/>
        <w:ind w:right="3319"/>
        <w:spacing w:after="0"/>
        <w:rPr>
          <w:sz w:val="20"/>
          <w:szCs w:val="20"/>
          <w:color w:val="auto"/>
        </w:rPr>
      </w:pPr>
      <w:r>
        <w:rPr>
          <w:rFonts w:ascii="Courier New" w:cs="Courier New" w:eastAsia="Courier New" w:hAnsi="Courier New"/>
          <w:sz w:val="14"/>
          <w:szCs w:val="14"/>
          <w:color w:val="auto"/>
        </w:rPr>
        <w:t>13</w:t>
      </w:r>
    </w:p>
    <w:p>
      <w:pPr>
        <w:spacing w:after="0" w:line="334" w:lineRule="exact"/>
        <w:rPr>
          <w:sz w:val="20"/>
          <w:szCs w:val="20"/>
          <w:color w:val="auto"/>
        </w:rPr>
      </w:pPr>
    </w:p>
    <w:p>
      <w:pPr>
        <w:ind w:left="780" w:right="3319" w:firstLine="766"/>
        <w:spacing w:after="0" w:line="249" w:lineRule="auto"/>
        <w:tabs>
          <w:tab w:leader="none" w:pos="206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be publicly held, promptly upon transmission thereof, copies of all such financial statements, proxy statements, notices and reports as it shall send to its public stockholders and copies of all registration statements (without exhibits) and all reports (other than any registration statement filed on Form S-8) which it files with the Securities and Exchange Commission (or any governmental body or agency succeeding to the functions of the Securities and Exchange Commission);</w:t>
      </w:r>
    </w:p>
    <w:p>
      <w:pPr>
        <w:spacing w:after="0" w:line="162"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receipt thereof, a copy of each other report (including, without limitation, management letters) submitted to the Company or any Subsidiary by independent accountants in connection with any annual, interim or special audit made by them of the books of the Company or any Subsidiary;</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receipt thereof, a copy of each report, survey, study, evaluation, assessment or other document prepared by any consultant, engineer, Environmental Authority or other Person relating to compliance by the Company or any Subsidiary with any Environmental Requirements, if the cost of remediation, repair or compliance may be reasonably expected to exceed $250,000 in any one case or in the aggregate;</w:t>
      </w:r>
    </w:p>
    <w:p>
      <w:pPr>
        <w:spacing w:after="0" w:line="162"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reasonable promptness, upon the request of the holder of any Note, provide such holder, and any qualified institutional buyer designated by such holder, such financial and other information as such holder may reasonably determine to be necessary in order to permit compliance with the information requirements of Rule 144A under the Securities Act in connection with the resale of Notes, except at such times as the Company is subject to the reporting requirements of section 13 or 15(d) of the Exchange Act. For the purpose of this clause (vi), the term "qualified institutional buyer" shall have the meaning specified in Rule 144A under the Securities Act; and</w:t>
      </w:r>
    </w:p>
    <w:p>
      <w:pPr>
        <w:spacing w:after="0" w:line="326" w:lineRule="exact"/>
        <w:rPr>
          <w:rFonts w:ascii="Courier New" w:cs="Courier New" w:eastAsia="Courier New" w:hAnsi="Courier New"/>
          <w:sz w:val="14"/>
          <w:szCs w:val="14"/>
          <w:color w:val="auto"/>
        </w:rPr>
      </w:pPr>
    </w:p>
    <w:p>
      <w:pPr>
        <w:ind w:left="780" w:right="3399" w:firstLine="766"/>
        <w:spacing w:after="0" w:line="249" w:lineRule="auto"/>
        <w:tabs>
          <w:tab w:leader="none" w:pos="206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reasonable promptness, such other data relating to the business, operations, properties or financial condition of the Company or any of its Subsidiaries as a Significant Holder may reasonably request;</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5A(2) OFFICER'S CERTIFICATES. Together with each delivery of financial statements required by clauses 5A(i) and (ii) above, the Company will deliver to each Significant Holder an Officer's Certificate demonstrating (with computations in reasonable detail) compliance with the provisions of paragraphs 6A, 6B(1), 6B(2), 6B(3) and 6C and stating that there exists no Event of Default or Default, or, if any Event of Default or Default exists, specifying the nature and period of existence thereof and what action the Company has taken, is taking or proposes to take with respect thereto;</w:t>
      </w:r>
    </w:p>
    <w:p>
      <w:pPr>
        <w:spacing w:after="0" w:line="163"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5A(3) SPECIAL INFORMATION. The Company also covenants that immediately after any Responsible Officer obtains actual knowledge of:</w:t>
      </w:r>
    </w:p>
    <w:p>
      <w:pPr>
        <w:spacing w:after="0" w:line="161" w:lineRule="exact"/>
        <w:rPr>
          <w:sz w:val="20"/>
          <w:szCs w:val="20"/>
          <w:color w:val="auto"/>
        </w:rPr>
      </w:pPr>
    </w:p>
    <w:p>
      <w:pPr>
        <w:ind w:left="1880" w:hanging="334"/>
        <w:spacing w:after="0"/>
        <w:tabs>
          <w:tab w:leader="none" w:pos="18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Default or Default;</w:t>
      </w:r>
    </w:p>
    <w:p>
      <w:pPr>
        <w:spacing w:after="0" w:line="170" w:lineRule="exact"/>
        <w:rPr>
          <w:rFonts w:ascii="Courier New" w:cs="Courier New" w:eastAsia="Courier New" w:hAnsi="Courier New"/>
          <w:sz w:val="14"/>
          <w:szCs w:val="14"/>
          <w:color w:val="auto"/>
        </w:rPr>
      </w:pPr>
    </w:p>
    <w:p>
      <w:pPr>
        <w:ind w:left="780" w:right="3399" w:firstLine="766"/>
        <w:spacing w:after="0" w:line="250" w:lineRule="auto"/>
        <w:tabs>
          <w:tab w:leader="none" w:pos="1891"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material adverse change in the financial condition, business or operations of the Company and its Subsidiaries, taken as a whole;</w:t>
      </w:r>
    </w:p>
    <w:p>
      <w:pPr>
        <w:sectPr>
          <w:pgSz w:w="11900" w:h="16838" w:orient="portrait"/>
          <w:cols w:equalWidth="0" w:num="1">
            <w:col w:w="10159"/>
          </w:cols>
          <w:pgMar w:left="300" w:top="448" w:right="1440" w:bottom="1440" w:gutter="0" w:footer="0" w:header="0"/>
        </w:sectPr>
      </w:pPr>
    </w:p>
    <w:bookmarkStart w:id="89" w:name="page90"/>
    <w:bookmarkEnd w:id="89"/>
    <w:p>
      <w:pPr>
        <w:jc w:val="right"/>
        <w:ind w:right="3319"/>
        <w:spacing w:after="0"/>
        <w:rPr>
          <w:sz w:val="20"/>
          <w:szCs w:val="20"/>
          <w:color w:val="auto"/>
        </w:rPr>
      </w:pPr>
      <w:r>
        <w:rPr>
          <w:rFonts w:ascii="Courier New" w:cs="Courier New" w:eastAsia="Courier New" w:hAnsi="Courier New"/>
          <w:sz w:val="14"/>
          <w:szCs w:val="14"/>
          <w:color w:val="auto"/>
        </w:rPr>
        <w:t>14</w:t>
      </w:r>
    </w:p>
    <w:p>
      <w:pPr>
        <w:spacing w:after="0" w:line="334" w:lineRule="exact"/>
        <w:rPr>
          <w:sz w:val="20"/>
          <w:szCs w:val="20"/>
          <w:color w:val="auto"/>
        </w:rPr>
      </w:pPr>
    </w:p>
    <w:p>
      <w:pPr>
        <w:ind w:left="780" w:right="3579" w:firstLine="766"/>
        <w:spacing w:after="0" w:line="249" w:lineRule="auto"/>
        <w:tabs>
          <w:tab w:leader="none" w:pos="1891"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proceedings filed against the Company and/or any Subsidiary, which reasonably could be expected to have a material adverse effect on the financial condition, business or operations of the Company and its Subsidiaries, taken as a whole, or which in any manner draws into question the validity of or reasonably could be expected to impair the ability of the Company to perform its obligations under this Agreement or the Notes;</w:t>
      </w:r>
    </w:p>
    <w:p>
      <w:pPr>
        <w:spacing w:after="0" w:line="162" w:lineRule="exact"/>
        <w:rPr>
          <w:rFonts w:ascii="Courier New" w:cs="Courier New" w:eastAsia="Courier New" w:hAnsi="Courier New"/>
          <w:sz w:val="14"/>
          <w:szCs w:val="14"/>
          <w:color w:val="auto"/>
        </w:rPr>
      </w:pPr>
    </w:p>
    <w:p>
      <w:pPr>
        <w:ind w:left="780" w:right="3399" w:firstLine="766"/>
        <w:spacing w:after="0" w:line="251" w:lineRule="auto"/>
        <w:tabs>
          <w:tab w:leader="none" w:pos="1891"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under any agreement or note evidencing Debt for which the Company or any Subsidiary is liable;</w:t>
      </w:r>
    </w:p>
    <w:p>
      <w:pPr>
        <w:spacing w:after="0" w:line="161" w:lineRule="exact"/>
        <w:rPr>
          <w:rFonts w:ascii="Courier New" w:cs="Courier New" w:eastAsia="Courier New" w:hAnsi="Courier New"/>
          <w:sz w:val="14"/>
          <w:szCs w:val="14"/>
          <w:color w:val="auto"/>
        </w:rPr>
      </w:pPr>
    </w:p>
    <w:p>
      <w:pPr>
        <w:ind w:left="780" w:right="3319" w:firstLine="766"/>
        <w:spacing w:after="0" w:line="250" w:lineRule="auto"/>
        <w:tabs>
          <w:tab w:leader="none" w:pos="1891"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any other event that reasonably could be expected to impair the ability of the Company to meet its obligations hereunder;</w:t>
      </w:r>
    </w:p>
    <w:p>
      <w:pPr>
        <w:spacing w:after="0" w:line="161" w:lineRule="exact"/>
        <w:rPr>
          <w:rFonts w:ascii="Courier New" w:cs="Courier New" w:eastAsia="Courier New" w:hAnsi="Courier New"/>
          <w:sz w:val="14"/>
          <w:szCs w:val="14"/>
          <w:color w:val="auto"/>
        </w:rPr>
      </w:pPr>
    </w:p>
    <w:p>
      <w:pPr>
        <w:ind w:left="780" w:right="3399" w:firstLine="766"/>
        <w:spacing w:after="0" w:line="249" w:lineRule="auto"/>
        <w:tabs>
          <w:tab w:leader="none" w:pos="1891"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 Environmental Liabilities, (ii) pending, threatened or anticipated Environmental Proceedings, (iii) Environmental Notices, (iv) Environmental Judgments and Orders, or (v) Environmental Releases at, on, in, under or in any way affecting the Properties which reasonably could be expected to have a material adverse effect on the business, operations or financial condition of the Company and its Subsidiaries, taken as a whole;</w:t>
      </w:r>
    </w:p>
    <w:p>
      <w:pPr>
        <w:spacing w:after="0" w:line="162" w:lineRule="exact"/>
        <w:rPr>
          <w:rFonts w:ascii="Courier New" w:cs="Courier New" w:eastAsia="Courier New" w:hAnsi="Courier New"/>
          <w:sz w:val="14"/>
          <w:szCs w:val="14"/>
          <w:color w:val="auto"/>
        </w:rPr>
      </w:pPr>
    </w:p>
    <w:p>
      <w:pPr>
        <w:ind w:left="780" w:right="3399" w:firstLine="766"/>
        <w:spacing w:after="0" w:line="249" w:lineRule="auto"/>
        <w:tabs>
          <w:tab w:leader="none" w:pos="1891"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Plan that is subject to the funding requirements of Section 302 of ERISA or Section 412 of the Code, the Company (i) has given or is required to give notice to the Pension Benefit Guaranty Corporation that a material reportable event has occurred with respect to such Plan, (ii) has delivered notice to the Pension Benefit Guaranty Corporation of any intent to withdraw from or terminate any such Plan, or (iii) has failed to make timely a contribution to any such Plan; or</w:t>
      </w:r>
    </w:p>
    <w:p>
      <w:pPr>
        <w:spacing w:after="0" w:line="162" w:lineRule="exact"/>
        <w:rPr>
          <w:rFonts w:ascii="Courier New" w:cs="Courier New" w:eastAsia="Courier New" w:hAnsi="Courier New"/>
          <w:sz w:val="14"/>
          <w:szCs w:val="14"/>
          <w:color w:val="auto"/>
        </w:rPr>
      </w:pPr>
    </w:p>
    <w:p>
      <w:pPr>
        <w:ind w:left="1880" w:hanging="334"/>
        <w:spacing w:after="0"/>
        <w:tabs>
          <w:tab w:leader="none" w:pos="1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modification of any Rheem Agreement;</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Company will deliver to each Significant Holder an Officer's Certificate specifying the nature and period of existence thereof and what action the Company or the Subsidiary has taken, is taking or proposes to take with respect thereto.</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5B. INSPECTION OF PROPERTY. The Company covenants that, at such reasonable times and upon reasonable notice and as often as a Significant Holder may reasonably request, it will permit any Person designated by a Significant Holder in writing, at such Significant Holder's expense unless a Default has occurred and is continuing in which case at the Company's expense, to:</w:t>
      </w:r>
    </w:p>
    <w:p>
      <w:pPr>
        <w:spacing w:after="0" w:line="163" w:lineRule="exact"/>
        <w:rPr>
          <w:sz w:val="20"/>
          <w:szCs w:val="20"/>
          <w:color w:val="auto"/>
        </w:rPr>
      </w:pPr>
    </w:p>
    <w:p>
      <w:pPr>
        <w:ind w:left="780" w:right="3319" w:firstLine="766"/>
        <w:spacing w:after="0" w:line="251" w:lineRule="auto"/>
        <w:tabs>
          <w:tab w:leader="none" w:pos="1891"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visit and inspect any of the properties of the Company and any Subsidiary;</w:t>
      </w:r>
    </w:p>
    <w:p>
      <w:pPr>
        <w:spacing w:after="0" w:line="161" w:lineRule="exact"/>
        <w:rPr>
          <w:rFonts w:ascii="Courier New" w:cs="Courier New" w:eastAsia="Courier New" w:hAnsi="Courier New"/>
          <w:sz w:val="14"/>
          <w:szCs w:val="14"/>
          <w:color w:val="auto"/>
        </w:rPr>
      </w:pPr>
    </w:p>
    <w:p>
      <w:pPr>
        <w:ind w:left="780" w:right="3399" w:firstLine="766"/>
        <w:spacing w:after="0" w:line="250" w:lineRule="auto"/>
        <w:tabs>
          <w:tab w:leader="none" w:pos="197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examine the corporate books and financial records of the Company and its Subsidiaries and make copies thereof or extracts therefrom; and</w:t>
      </w:r>
    </w:p>
    <w:p>
      <w:pPr>
        <w:spacing w:after="0" w:line="161" w:lineRule="exact"/>
        <w:rPr>
          <w:rFonts w:ascii="Courier New" w:cs="Courier New" w:eastAsia="Courier New" w:hAnsi="Courier New"/>
          <w:sz w:val="14"/>
          <w:szCs w:val="14"/>
          <w:color w:val="auto"/>
        </w:rPr>
      </w:pPr>
    </w:p>
    <w:p>
      <w:pPr>
        <w:jc w:val="both"/>
        <w:ind w:left="780" w:right="3659" w:firstLine="766"/>
        <w:spacing w:after="0" w:line="250" w:lineRule="auto"/>
        <w:tabs>
          <w:tab w:leader="none" w:pos="206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 the affairs, finances and accounts of any of such corporations with the principal officers of the Company or any Subsidiary and their independent public accountants.</w:t>
      </w:r>
    </w:p>
    <w:p>
      <w:pPr>
        <w:sectPr>
          <w:pgSz w:w="11900" w:h="16838" w:orient="portrait"/>
          <w:cols w:equalWidth="0" w:num="1">
            <w:col w:w="10159"/>
          </w:cols>
          <w:pgMar w:left="300" w:top="448" w:right="1440" w:bottom="1440" w:gutter="0" w:footer="0" w:header="0"/>
        </w:sectPr>
      </w:pPr>
    </w:p>
    <w:bookmarkStart w:id="90" w:name="page91"/>
    <w:bookmarkEnd w:id="90"/>
    <w:p>
      <w:pPr>
        <w:jc w:val="right"/>
        <w:ind w:right="3319"/>
        <w:spacing w:after="0"/>
        <w:rPr>
          <w:sz w:val="20"/>
          <w:szCs w:val="20"/>
          <w:color w:val="auto"/>
        </w:rPr>
      </w:pPr>
      <w:r>
        <w:rPr>
          <w:rFonts w:ascii="Courier New" w:cs="Courier New" w:eastAsia="Courier New" w:hAnsi="Courier New"/>
          <w:sz w:val="14"/>
          <w:szCs w:val="14"/>
          <w:color w:val="auto"/>
        </w:rPr>
        <w:t>15</w:t>
      </w:r>
    </w:p>
    <w:p>
      <w:pPr>
        <w:spacing w:after="0" w:line="334"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5C. COVENANT TO SECURE NOTES EQUALLY. The Company covenants that if it or any Subsidiary shall create or assume any Lien upon any of its property or assets, whether now owned or hereafter acquired, other than Liens permitted by paragraph 6B(1) (unless prior written consent shall have been obtained under paragraph 11C), it will make or cause to be made effective provision whereby the Notes will be secured by such Lien equally and ratably with any and all other Debt thereby secured so long as any such other Debt shall be so secured.</w:t>
      </w:r>
    </w:p>
    <w:p>
      <w:pPr>
        <w:spacing w:after="0" w:line="163"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5D. GUARANTEED OBLIGATIONS. The Company covenants that if any Person (other than the Company) Guarantees or provides collateral in any manner for any Debt of the Company or any Subsidiary other than as permitted by paragraph 6B(1), it will simultaneously cause such Person to Guarantee or provide collateral for the Notes equally and ratably with all Debt Guaranteed or secured by such Person for so long as such Debt is Guaranteed and pursuant to documentation in form and substance reasonably satisfactory to such holder. Subject to the foregoing, the Company shall cause each of its Subsidiaries not existing as of the date hereof to execute and deliver a guaranty agreement, in substantially the form of the Guaranty Agreements, as soon as practicable and in any event within thirty days of the creation or acquisition of any such Subsidiary. The delivery of such guaranty agreement shall be accompanied by such other documents as the Required Holders may reasonably request including charter, bylaws, appropriate resolutions of the Board of Directors of any such Subsidiary providing such a guaranty agreement and legal opinions. Upon the delivery thereof, such guaranty agreement and such other documents shall constitute Related Documents hereunder.</w:t>
      </w:r>
    </w:p>
    <w:p>
      <w:pPr>
        <w:spacing w:after="0" w:line="336"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5E. MAINTENANCE OF INSURANCE. The Company covenants that it and each Subsidiary will maintain, with responsible insurers, insurance with respect to its properties and business against such casualties and contingencies (including, but not limited to, public liability, larceny, embezzlement or other criminal misappropriation) and in such amounts as is customary in the case of similarly situated corporations engaged in the same or similar businesses.</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5F. MAINTENANCE OF CORPORATE EXISTENCE/COMPLIANCE WITH LAW/PRESERVATION OF PROPERTY. The Company covenants that, except as permitted under paragraphs 6B(3) and 6C, it and each Subsidiary will do or cause to be done all things necessary to, at all times:</w:t>
      </w:r>
    </w:p>
    <w:p>
      <w:pPr>
        <w:spacing w:after="0" w:line="163" w:lineRule="exact"/>
        <w:rPr>
          <w:sz w:val="20"/>
          <w:szCs w:val="20"/>
          <w:color w:val="auto"/>
        </w:rPr>
      </w:pPr>
    </w:p>
    <w:p>
      <w:pPr>
        <w:ind w:left="780" w:right="3319" w:firstLine="766"/>
        <w:spacing w:after="0" w:line="249" w:lineRule="auto"/>
        <w:tabs>
          <w:tab w:leader="none" w:pos="189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preserve, renew and keep in full force and effect the corporate existence of the Company and its Subsidiaries (other than those Subsidiaries not material to the financial condition, business or operations of the Company and its Subsidiaries taken as a whole);</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all laws and regulations (including, without limitation, laws and regulations relating to equal employment opportunity and employee safety) applicable to it and any Subsidiary except where the failure to comply could not reasonably be expected to have a material adverse effect on the business, operations or financial condition of the Company and its Subsidiaries, taken as a whole;</w:t>
      </w:r>
    </w:p>
    <w:p>
      <w:pPr>
        <w:spacing w:after="0" w:line="163" w:lineRule="exact"/>
        <w:rPr>
          <w:rFonts w:ascii="Courier New" w:cs="Courier New" w:eastAsia="Courier New" w:hAnsi="Courier New"/>
          <w:sz w:val="14"/>
          <w:szCs w:val="14"/>
          <w:color w:val="auto"/>
        </w:rPr>
      </w:pPr>
    </w:p>
    <w:p>
      <w:pPr>
        <w:ind w:left="780" w:right="3579" w:firstLine="766"/>
        <w:spacing w:after="0" w:line="250" w:lineRule="auto"/>
        <w:tabs>
          <w:tab w:leader="none" w:pos="2062"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preserve and protect all material licenses, certificates, permits, franchises and intellectual property of the Company and its Subsidiaries; and</w:t>
      </w:r>
    </w:p>
    <w:p>
      <w:pPr>
        <w:sectPr>
          <w:pgSz w:w="11900" w:h="16838" w:orient="portrait"/>
          <w:cols w:equalWidth="0" w:num="1">
            <w:col w:w="10159"/>
          </w:cols>
          <w:pgMar w:left="300" w:top="448" w:right="1440" w:bottom="1440" w:gutter="0" w:footer="0" w:header="0"/>
        </w:sectPr>
      </w:pPr>
    </w:p>
    <w:bookmarkStart w:id="91" w:name="page92"/>
    <w:bookmarkEnd w:id="91"/>
    <w:p>
      <w:pPr>
        <w:jc w:val="right"/>
        <w:ind w:right="3319"/>
        <w:spacing w:after="0"/>
        <w:rPr>
          <w:sz w:val="20"/>
          <w:szCs w:val="20"/>
          <w:color w:val="auto"/>
        </w:rPr>
      </w:pPr>
      <w:r>
        <w:rPr>
          <w:rFonts w:ascii="Courier New" w:cs="Courier New" w:eastAsia="Courier New" w:hAnsi="Courier New"/>
          <w:sz w:val="14"/>
          <w:szCs w:val="14"/>
          <w:color w:val="auto"/>
        </w:rPr>
        <w:t>16</w:t>
      </w:r>
    </w:p>
    <w:p>
      <w:pPr>
        <w:spacing w:after="0" w:line="334" w:lineRule="exact"/>
        <w:rPr>
          <w:sz w:val="20"/>
          <w:szCs w:val="20"/>
          <w:color w:val="auto"/>
        </w:rPr>
      </w:pPr>
    </w:p>
    <w:p>
      <w:pPr>
        <w:ind w:left="780" w:right="3319" w:firstLine="766"/>
        <w:spacing w:after="0" w:line="249" w:lineRule="auto"/>
        <w:tabs>
          <w:tab w:leader="none" w:pos="1976"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preserve all the remainder of its property used or useful in the conduct of its business and keep the same in good repair, working order and condition excluding normal wear and tear, except where the failure to preserve such property could not be reasonably expected to have a material adverse effect on the business, operations or financial condition of the Company and its Subsidiaries, taken as a whole.</w:t>
      </w:r>
    </w:p>
    <w:p>
      <w:pPr>
        <w:spacing w:after="0" w:line="327" w:lineRule="exact"/>
        <w:rPr>
          <w:sz w:val="20"/>
          <w:szCs w:val="20"/>
          <w:color w:val="auto"/>
        </w:rPr>
      </w:pPr>
    </w:p>
    <w:p>
      <w:pPr>
        <w:ind w:right="3399" w:firstLine="769"/>
        <w:spacing w:after="0" w:line="248" w:lineRule="auto"/>
        <w:rPr>
          <w:sz w:val="20"/>
          <w:szCs w:val="20"/>
          <w:color w:val="auto"/>
        </w:rPr>
      </w:pPr>
      <w:r>
        <w:rPr>
          <w:rFonts w:ascii="Courier New" w:cs="Courier New" w:eastAsia="Courier New" w:hAnsi="Courier New"/>
          <w:sz w:val="14"/>
          <w:szCs w:val="14"/>
          <w:color w:val="auto"/>
        </w:rPr>
        <w:t>5G. COMPLIANCE WITH ENVIRONMENTAL LAWS. The Company covenants that it and each Subsidiary will, comply in a timely fashion with, or operate pursuant to valid waivers of the provisions of, all applicable Environmental Requirements, including, without limitation, the emission of wastewater effluent, solid and hazardous waste and air emissions together with any other applicable Environmental Requirements for conducting, on a timely basis, periodic tests and monitoring for contamination of ground water, surface water, air and land and for biological toxicity of the aforesaid, and all applicable regulations of the Environmental Protection Agency or other relevant Governmental Authority, except where the failure to comply could not reasonably be expected to have a material adverse effect on the business, operations or financial condition of the Company and its Subsidiaries, taken as a whole. The Company agrees to indemnify and hold you, your officers, agents and employees (each an "INDEMNIFIED PERSON") harmless from any loss, liability, claim or expense that you may incur or suffer as a result of a breach by the Company or any Subsidiary, as the case may be, of this covenant other than as a result of the gross negligence or willful misconduct of such Indemnified Person. The Company shall not be deemed to have breached or violated this paragraph 5G if the Company or any Subsidiary is challenging in good faith by appropriate proceedings diligently pursued the application or enforcement of such Environmental Requirements for which adequate reserves have been established in accordance with generally accepted accounting principles.</w:t>
      </w:r>
    </w:p>
    <w:p>
      <w:pPr>
        <w:spacing w:after="0" w:line="174"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5H. NO INTEGRATION. The Company covenants that it has taken and will take all necessary action so that the issuance of the Notes does not and will not require registration under the Securities Act. The Company covenants that no future offer and sale of debt securities of the Company of any class will be made if there is a reasonable possibility that such offer and sale would, under the doctrine of "integration", subject the issuance of the Notes to you to the registration requirements of the Securities Act.</w:t>
      </w:r>
    </w:p>
    <w:p>
      <w:pPr>
        <w:spacing w:after="0" w:line="163"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5I. FINANCIAL RECORDS. The Company covenants that it and each Subsidiary will keep proper books of record and account in which full and correct entries (in all material respects and subject to normal year end adjustments and, as to interim statements, the absence of footnotes) will be made of the business and affairs of the Company or such Subsidiary under generally accepted accounting principles consistently applied (except for changes disclosed in the financial statements furnished to you pursuant to paragraph 5A and concurred in by the independent public accountants referred to in paragraph 5A).</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5J. OTHER COVENANTS. If (in the reasonable opinion of the Required Holders) at any time and from time to time, after the date hereof, any of the material covenants, material representations and warranties or material events of default, or any other material term or provision (other than any term or provision relating to payment terms, interest rates or penalties) (collectively, "MATERIAL PROVISIONS"), contained in any document evidencing any Debt in excess of $5,000,000, or in any document, agreement or instrument from time to time entered into by the Company in respect thereof (collectively, the "OTHER DEBT DOCUMENTS"), is more favorable to</w:t>
      </w:r>
    </w:p>
    <w:p>
      <w:pPr>
        <w:sectPr>
          <w:pgSz w:w="11900" w:h="16838" w:orient="portrait"/>
          <w:cols w:equalWidth="0" w:num="1">
            <w:col w:w="10159"/>
          </w:cols>
          <w:pgMar w:left="300" w:top="448" w:right="1440" w:bottom="1440" w:gutter="0" w:footer="0" w:header="0"/>
        </w:sectPr>
      </w:pPr>
    </w:p>
    <w:bookmarkStart w:id="92" w:name="page93"/>
    <w:bookmarkEnd w:id="92"/>
    <w:p>
      <w:pPr>
        <w:jc w:val="right"/>
        <w:ind w:right="3319"/>
        <w:spacing w:after="0"/>
        <w:rPr>
          <w:sz w:val="20"/>
          <w:szCs w:val="20"/>
          <w:color w:val="auto"/>
        </w:rPr>
      </w:pPr>
      <w:r>
        <w:rPr>
          <w:rFonts w:ascii="Courier New" w:cs="Courier New" w:eastAsia="Courier New" w:hAnsi="Courier New"/>
          <w:sz w:val="14"/>
          <w:szCs w:val="14"/>
          <w:color w:val="auto"/>
        </w:rPr>
        <w:t>17</w:t>
      </w:r>
    </w:p>
    <w:p>
      <w:pPr>
        <w:spacing w:after="0" w:line="33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lender or beneficiary under such Other Debt Documents than are the terms of this Agreement to the holders of the Notes, this Agreement shall be deemed amended to contain each more favorable Material Provision on the same basis and to the extent that such Material Provisions are reflected in such Other Debt Documents. The Company hereby agrees to so amend this Agreement and to execute and deliver all such documents required by the Required Holder(s) to reflect such Amendment. Prior to the execution and delivery of such documents by the Company, this Agreement shall be deemed to contain each more favorable Material Provision for purposes of determining the rights and obligations hereunder.</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5K. PAYMENT OF TAXES AND CLAIMS. The Company will, and will cause each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to, pay before they become delinquent:</w:t>
      </w:r>
    </w:p>
    <w:p>
      <w:pPr>
        <w:spacing w:after="0" w:line="170" w:lineRule="exact"/>
        <w:rPr>
          <w:sz w:val="20"/>
          <w:szCs w:val="20"/>
          <w:color w:val="auto"/>
        </w:rPr>
      </w:pPr>
    </w:p>
    <w:p>
      <w:pPr>
        <w:ind w:left="780" w:right="3319" w:firstLine="766"/>
        <w:spacing w:after="0" w:line="249" w:lineRule="auto"/>
        <w:tabs>
          <w:tab w:leader="none" w:pos="1891"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taxes, assessments and governmental charges or levies imposed upon it or any of its property other than any taxes, assessments and government charges or levies being contested in good faith by appropriate proceedings diligently conducted and with respect to which adequate reserves or other appropriate provisions are being maintained in accordance with generally accepted accounting principles; and</w:t>
      </w:r>
    </w:p>
    <w:p>
      <w:pPr>
        <w:spacing w:after="0" w:line="327"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claims or demands of materialmen, mechanics, carriers, warehousemen, vendors, landlords and other like Persons that, if unpaid, could reasonable be expected to result in the creation of a Lien upon any of its property:</w:t>
      </w:r>
    </w:p>
    <w:p>
      <w:pPr>
        <w:spacing w:after="0" w:line="163" w:lineRule="exact"/>
        <w:rPr>
          <w:sz w:val="20"/>
          <w:szCs w:val="20"/>
          <w:color w:val="auto"/>
        </w:rPr>
      </w:pPr>
    </w:p>
    <w:p>
      <w:pPr>
        <w:ind w:left="780" w:right="3399"/>
        <w:spacing w:after="0" w:line="251" w:lineRule="auto"/>
        <w:rPr>
          <w:sz w:val="20"/>
          <w:szCs w:val="20"/>
          <w:color w:val="auto"/>
        </w:rPr>
      </w:pPr>
      <w:r>
        <w:rPr>
          <w:rFonts w:ascii="Courier New" w:cs="Courier New" w:eastAsia="Courier New" w:hAnsi="Courier New"/>
          <w:sz w:val="14"/>
          <w:szCs w:val="14"/>
          <w:color w:val="auto"/>
        </w:rPr>
        <w:t>PROVIDED, that items of the foregoing clauses (i) and (ii) need not be paid</w:t>
      </w:r>
    </w:p>
    <w:p>
      <w:pPr>
        <w:spacing w:after="0" w:line="161" w:lineRule="exact"/>
        <w:rPr>
          <w:sz w:val="20"/>
          <w:szCs w:val="20"/>
          <w:color w:val="auto"/>
        </w:rPr>
      </w:pPr>
    </w:p>
    <w:p>
      <w:pPr>
        <w:ind w:left="1540" w:right="3319" w:firstLine="775"/>
        <w:spacing w:after="0" w:line="249" w:lineRule="auto"/>
        <w:tabs>
          <w:tab w:leader="none" w:pos="2651"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while being actively contested in good faith and by appropriate proceedings as long adequate book reserves have been established and maintained and exist with respect thereto, and</w:t>
      </w:r>
    </w:p>
    <w:p>
      <w:pPr>
        <w:spacing w:after="0" w:line="163" w:lineRule="exact"/>
        <w:rPr>
          <w:rFonts w:ascii="Courier New" w:cs="Courier New" w:eastAsia="Courier New" w:hAnsi="Courier New"/>
          <w:sz w:val="14"/>
          <w:szCs w:val="14"/>
          <w:color w:val="auto"/>
        </w:rPr>
      </w:pPr>
    </w:p>
    <w:p>
      <w:pPr>
        <w:ind w:left="1540" w:right="3319" w:firstLine="775"/>
        <w:spacing w:after="0" w:line="250" w:lineRule="auto"/>
        <w:tabs>
          <w:tab w:leader="none" w:pos="2651"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so long as the title to, and right to use, such property, is not materially adversely affected thereby.</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5L. INTERCREDITOR AGREEMENT. Upon the termination, expiration, extension, renewal or replacement of the Bank Agreement, the Company agrees to use its best efforts to cause the applicable bank group to execute and deliver an intercreditor agreement as it relates to guaranties of such Debt by Subsidiaries among its bank group for any credit facility then in effect and the Purchasers, in form and substance reasonably satisfactory to the Required Holders.</w:t>
      </w:r>
    </w:p>
    <w:p>
      <w:pPr>
        <w:spacing w:after="0" w:line="327" w:lineRule="exact"/>
        <w:rPr>
          <w:sz w:val="20"/>
          <w:szCs w:val="20"/>
          <w:color w:val="auto"/>
        </w:rPr>
      </w:pPr>
    </w:p>
    <w:p>
      <w:pPr>
        <w:ind w:right="3319" w:firstLine="777"/>
        <w:spacing w:after="0" w:line="249" w:lineRule="auto"/>
        <w:tabs>
          <w:tab w:leader="none" w:pos="102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NEGATIVE COVENANTS. Unless the Required Holders otherwise agree in writing, the Company shall not, and shall not permit any Subsidiary, to take any of the following actions or permit the occurrence or existence of any of the following events or conditions:</w:t>
      </w:r>
    </w:p>
    <w:p>
      <w:pPr>
        <w:spacing w:after="0" w:line="163" w:lineRule="exact"/>
        <w:rPr>
          <w:sz w:val="20"/>
          <w:szCs w:val="20"/>
          <w:color w:val="auto"/>
        </w:rPr>
      </w:pPr>
    </w:p>
    <w:p>
      <w:pPr>
        <w:ind w:right="3319" w:firstLine="769"/>
        <w:spacing w:after="0" w:line="251" w:lineRule="auto"/>
        <w:rPr>
          <w:sz w:val="20"/>
          <w:szCs w:val="20"/>
          <w:color w:val="auto"/>
        </w:rPr>
      </w:pPr>
      <w:r>
        <w:rPr>
          <w:rFonts w:ascii="Courier New" w:cs="Courier New" w:eastAsia="Courier New" w:hAnsi="Courier New"/>
          <w:sz w:val="14"/>
          <w:szCs w:val="14"/>
          <w:color w:val="auto"/>
        </w:rPr>
        <w:t>6A. FINANCIAL LIMITATION. The Company covenants that it will not permit at any time:</w:t>
      </w:r>
    </w:p>
    <w:p>
      <w:pPr>
        <w:spacing w:after="0" w:line="161" w:lineRule="exact"/>
        <w:rPr>
          <w:sz w:val="20"/>
          <w:szCs w:val="20"/>
          <w:color w:val="auto"/>
        </w:rPr>
      </w:pPr>
    </w:p>
    <w:p>
      <w:pPr>
        <w:ind w:left="780" w:right="3579" w:firstLine="766"/>
        <w:spacing w:after="0" w:line="251" w:lineRule="auto"/>
        <w:tabs>
          <w:tab w:leader="none" w:pos="1891"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Debt to exceed 350% of Consolidated EBITDA for the most recently ended four fiscal quarter period; or</w:t>
      </w:r>
    </w:p>
    <w:p>
      <w:pPr>
        <w:sectPr>
          <w:pgSz w:w="11900" w:h="16838" w:orient="portrait"/>
          <w:cols w:equalWidth="0" w:num="1">
            <w:col w:w="10159"/>
          </w:cols>
          <w:pgMar w:left="300" w:top="448" w:right="1440" w:bottom="1440" w:gutter="0" w:footer="0" w:header="0"/>
        </w:sectPr>
      </w:pPr>
    </w:p>
    <w:bookmarkStart w:id="93" w:name="page94"/>
    <w:bookmarkEnd w:id="93"/>
    <w:p>
      <w:pPr>
        <w:jc w:val="right"/>
        <w:ind w:right="3319"/>
        <w:spacing w:after="0"/>
        <w:rPr>
          <w:sz w:val="20"/>
          <w:szCs w:val="20"/>
          <w:color w:val="auto"/>
        </w:rPr>
      </w:pPr>
      <w:r>
        <w:rPr>
          <w:rFonts w:ascii="Courier New" w:cs="Courier New" w:eastAsia="Courier New" w:hAnsi="Courier New"/>
          <w:sz w:val="14"/>
          <w:szCs w:val="14"/>
          <w:color w:val="auto"/>
        </w:rPr>
        <w:t>18</w:t>
      </w:r>
    </w:p>
    <w:p>
      <w:pPr>
        <w:spacing w:after="0" w:line="334" w:lineRule="exact"/>
        <w:rPr>
          <w:sz w:val="20"/>
          <w:szCs w:val="20"/>
          <w:color w:val="auto"/>
        </w:rPr>
      </w:pPr>
    </w:p>
    <w:p>
      <w:pPr>
        <w:ind w:left="780" w:right="3479" w:firstLine="766"/>
        <w:spacing w:after="0" w:line="251" w:lineRule="auto"/>
        <w:tabs>
          <w:tab w:leader="none" w:pos="197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Debt to exceed 62.5% of Consolidated Total Capitalization; or</w:t>
      </w:r>
    </w:p>
    <w:p>
      <w:pPr>
        <w:spacing w:after="0" w:line="161" w:lineRule="exact"/>
        <w:rPr>
          <w:rFonts w:ascii="Courier New" w:cs="Courier New" w:eastAsia="Courier New" w:hAnsi="Courier New"/>
          <w:sz w:val="14"/>
          <w:szCs w:val="14"/>
          <w:color w:val="auto"/>
        </w:rPr>
      </w:pPr>
    </w:p>
    <w:p>
      <w:pPr>
        <w:ind w:left="2060" w:hanging="514"/>
        <w:spacing w:after="0"/>
        <w:tabs>
          <w:tab w:leader="none" w:pos="20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Priority Debt to exceed 15% of Consolidated Net Worth;</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PROVIDED, HOWEVER, if the Bank Agreement is amended to provide that the Consolidated Debt to Consolidated EBITDA ratio for the most recently ended four fiscal quarter period cannot exceed 3.75 to 1, the Purchasers agree to amend clause (i) above so that 350% is increased to 375%.</w:t>
      </w:r>
    </w:p>
    <w:p>
      <w:pPr>
        <w:spacing w:after="0" w:line="163" w:lineRule="exact"/>
        <w:rPr>
          <w:sz w:val="20"/>
          <w:szCs w:val="20"/>
          <w:color w:val="auto"/>
        </w:rPr>
      </w:pPr>
    </w:p>
    <w:p>
      <w:pPr>
        <w:ind w:right="3479" w:firstLine="769"/>
        <w:spacing w:after="0" w:line="251" w:lineRule="auto"/>
        <w:rPr>
          <w:sz w:val="20"/>
          <w:szCs w:val="20"/>
          <w:color w:val="auto"/>
        </w:rPr>
      </w:pPr>
      <w:r>
        <w:rPr>
          <w:rFonts w:ascii="Courier New" w:cs="Courier New" w:eastAsia="Courier New" w:hAnsi="Courier New"/>
          <w:sz w:val="14"/>
          <w:szCs w:val="14"/>
          <w:color w:val="auto"/>
        </w:rPr>
        <w:t>6B. LIENS, DEBT AND OTHER RESTRICTIONS. The Company covenants that it will not and will not permit any Subsidiary to:</w:t>
      </w:r>
    </w:p>
    <w:p>
      <w:pPr>
        <w:spacing w:after="0" w:line="161"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6B(1) LIENS. Create, assume or suffer to exist any Lien upon any of its property or assets, whether now owned or hereafter acquired (whether or not provision is made for the equal and ratable securing of the Notes pursuant to paragraph 5C), except:</w:t>
      </w:r>
    </w:p>
    <w:p>
      <w:pPr>
        <w:spacing w:after="0" w:line="163" w:lineRule="exact"/>
        <w:rPr>
          <w:sz w:val="20"/>
          <w:szCs w:val="20"/>
          <w:color w:val="auto"/>
        </w:rPr>
      </w:pPr>
    </w:p>
    <w:p>
      <w:pPr>
        <w:ind w:left="780" w:right="3319" w:firstLine="766"/>
        <w:spacing w:after="0" w:line="251" w:lineRule="auto"/>
        <w:tabs>
          <w:tab w:leader="none" w:pos="189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Initial Closing Day and specified on Schedule 6B(1);</w:t>
      </w:r>
    </w:p>
    <w:p>
      <w:pPr>
        <w:spacing w:after="0" w:line="161"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imposed by law for taxes, assessments or charges of any Governmental Authority for claims not yet due or which are being contested in good faith by appropriate proceedings diligently conducted and with respect to which adequate reserves or other appropriate provisions are being maintained in accordance with generally accepted accounting principles and which Liens do not constitute a prior or senior lien;</w:t>
      </w:r>
    </w:p>
    <w:p>
      <w:pPr>
        <w:spacing w:after="0" w:line="162" w:lineRule="exact"/>
        <w:rPr>
          <w:rFonts w:ascii="Courier New" w:cs="Courier New" w:eastAsia="Courier New" w:hAnsi="Courier New"/>
          <w:sz w:val="14"/>
          <w:szCs w:val="14"/>
          <w:color w:val="auto"/>
        </w:rPr>
      </w:pPr>
    </w:p>
    <w:p>
      <w:pPr>
        <w:ind w:left="780" w:right="3399" w:firstLine="766"/>
        <w:spacing w:after="0" w:line="249" w:lineRule="auto"/>
        <w:tabs>
          <w:tab w:leader="none" w:pos="206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statutory Liens of landlords and Liens of carriers, warehousemen, mechanics, materialmen and other Liens imposed by law or created in the ordinary course of business and in existence less than 120 days from the date of creation thereof for amounts not yet due or which are being contested in good faith by appropriate proceedings diligently conducted and with respect to which adequate reserves or other appropriate provisions are being maintained in accordance with generally accepted accounting principles and which Liens do not constitute a prior or senior lien;</w:t>
      </w:r>
    </w:p>
    <w:p>
      <w:pPr>
        <w:spacing w:after="0" w:line="162"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incurred or deposits made in the ordinary course of business (including, without limitation, surety bonds and appeal bonds) in connection with workers' compensation, taxes (and with respect to Liens, to the extent permitted under paragraph 5K), unemployment insurance and other types of social security benefits or to secure the performance of tenders, bids, leases, contracts (other than for the repayment of Debt), statutory obligations and other similar obligations or arising as a result of progress payments under government contracts;</w:t>
      </w:r>
    </w:p>
    <w:p>
      <w:pPr>
        <w:spacing w:after="0" w:line="162"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(including reciprocal easement agreements and utility agreements), rights-of-way, covenants, consents, reservations, encroachments, variations and zoning and other restrictions, charges or encumbrances (whether or not recorded), which do not interfere materially with the ordinary conduct of the business of the Company and its Subsidiaries taken as a whole and which do not materially detract from the value of the property to which they attach or materially impair the use thereof to the Company and its Subsidiaries taken as a whole; and</w:t>
      </w:r>
    </w:p>
    <w:p>
      <w:pPr>
        <w:sectPr>
          <w:pgSz w:w="11900" w:h="16838" w:orient="portrait"/>
          <w:cols w:equalWidth="0" w:num="1">
            <w:col w:w="10159"/>
          </w:cols>
          <w:pgMar w:left="300" w:top="448" w:right="1440" w:bottom="1440" w:gutter="0" w:footer="0" w:header="0"/>
        </w:sectPr>
      </w:pPr>
    </w:p>
    <w:bookmarkStart w:id="94" w:name="page95"/>
    <w:bookmarkEnd w:id="94"/>
    <w:p>
      <w:pPr>
        <w:jc w:val="right"/>
        <w:ind w:right="3319"/>
        <w:spacing w:after="0"/>
        <w:rPr>
          <w:sz w:val="20"/>
          <w:szCs w:val="20"/>
          <w:color w:val="auto"/>
        </w:rPr>
      </w:pPr>
      <w:r>
        <w:rPr>
          <w:rFonts w:ascii="Courier New" w:cs="Courier New" w:eastAsia="Courier New" w:hAnsi="Courier New"/>
          <w:sz w:val="14"/>
          <w:szCs w:val="14"/>
          <w:color w:val="auto"/>
        </w:rPr>
        <w:t>19</w:t>
      </w:r>
    </w:p>
    <w:p>
      <w:pPr>
        <w:spacing w:after="0" w:line="334" w:lineRule="exact"/>
        <w:rPr>
          <w:sz w:val="20"/>
          <w:szCs w:val="20"/>
          <w:color w:val="auto"/>
        </w:rPr>
      </w:pPr>
    </w:p>
    <w:p>
      <w:pPr>
        <w:ind w:left="780" w:right="3319" w:firstLine="766"/>
        <w:spacing w:after="0" w:line="248" w:lineRule="auto"/>
        <w:tabs>
          <w:tab w:leader="none" w:pos="197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right of set off or banker's lien (whether by common law, statute, contract or otherwise) in connection with ordinary course of business deposit arrangements maintained by the Company or its Subsidiaries with a bank a party to the Bank Agreement until August 8, 2002 or with its other banks or financial institutions so long as any such bank or other financial institution (A) shall not at any time make loans or otherwise extend credit to the Company or any Subsidiary, (B) does not maintain accounts (for the deposit of cash or otherwise) for the benefit of the Company or any Subsidiary, (C) shall have waived in writing for the benefit of each holder of a Note such right of setoff or banker's lien, or (D) shall be subject to a pro rata sharing agreement in form and substance satisfactory to each Significant Holder; or</w:t>
      </w:r>
    </w:p>
    <w:p>
      <w:pPr>
        <w:spacing w:after="0" w:line="333" w:lineRule="exact"/>
        <w:rPr>
          <w:rFonts w:ascii="Courier New" w:cs="Courier New" w:eastAsia="Courier New" w:hAnsi="Courier New"/>
          <w:sz w:val="14"/>
          <w:szCs w:val="14"/>
          <w:color w:val="auto"/>
        </w:rPr>
      </w:pPr>
    </w:p>
    <w:p>
      <w:pPr>
        <w:ind w:left="780" w:right="3319" w:firstLine="766"/>
        <w:spacing w:after="0" w:line="249" w:lineRule="auto"/>
        <w:tabs>
          <w:tab w:leader="none" w:pos="206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renewing, extending, or refunding any outstanding obligations secured by a Lien described in clause (i), PROVIDED (A) the principal amount secured is not increased or the weighted average life to maturity thereof reduced; (B) such Lien is not extended to any other property of the Company or its Subsidiaries; (C) the Debt secured thereby is permitted under paragraph 6A and (D) no Default or Event of Default has occurred and is continuing;</w:t>
      </w:r>
    </w:p>
    <w:p>
      <w:pPr>
        <w:spacing w:after="0" w:line="162" w:lineRule="exact"/>
        <w:rPr>
          <w:rFonts w:ascii="Courier New" w:cs="Courier New" w:eastAsia="Courier New" w:hAnsi="Courier New"/>
          <w:sz w:val="14"/>
          <w:szCs w:val="14"/>
          <w:color w:val="auto"/>
        </w:rPr>
      </w:pPr>
    </w:p>
    <w:p>
      <w:pPr>
        <w:ind w:left="780" w:right="3319" w:firstLine="766"/>
        <w:spacing w:after="0" w:line="249" w:lineRule="auto"/>
        <w:tabs>
          <w:tab w:leader="none" w:pos="214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insurance policies owned by the Company on the lives of its officers securing policy loans obtained from the insurers under such policies, PROVIDED that (A) the aggregate amount borrowed on each policy shall not exceed the loan value thereof and (B) the Company shall not incur any liability to repay any such loan; and</w:t>
      </w:r>
    </w:p>
    <w:p>
      <w:pPr>
        <w:spacing w:after="0" w:line="163" w:lineRule="exact"/>
        <w:rPr>
          <w:rFonts w:ascii="Courier New" w:cs="Courier New" w:eastAsia="Courier New" w:hAnsi="Courier New"/>
          <w:sz w:val="14"/>
          <w:szCs w:val="14"/>
          <w:color w:val="auto"/>
        </w:rPr>
      </w:pPr>
    </w:p>
    <w:p>
      <w:pPr>
        <w:ind w:left="780" w:right="3739" w:firstLine="766"/>
        <w:spacing w:after="0" w:line="251" w:lineRule="auto"/>
        <w:tabs>
          <w:tab w:leader="none" w:pos="197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Liens securing Priority Debt permitted by paragraph 6A(iii).</w:t>
      </w: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6B(2) DEBT. Create, incur, assume or suffer to exist any Debt, except:</w:t>
      </w:r>
    </w:p>
    <w:p>
      <w:pPr>
        <w:spacing w:after="0" w:line="170" w:lineRule="exact"/>
        <w:rPr>
          <w:sz w:val="20"/>
          <w:szCs w:val="20"/>
          <w:color w:val="auto"/>
        </w:rPr>
      </w:pPr>
    </w:p>
    <w:p>
      <w:pPr>
        <w:ind w:left="1880" w:hanging="334"/>
        <w:spacing w:after="0"/>
        <w:tabs>
          <w:tab w:leader="none" w:pos="18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represented by this Agreement or any of the Related</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w:t>
      </w:r>
    </w:p>
    <w:p>
      <w:pPr>
        <w:spacing w:after="0" w:line="170" w:lineRule="exact"/>
        <w:rPr>
          <w:rFonts w:ascii="Courier New" w:cs="Courier New" w:eastAsia="Courier New" w:hAnsi="Courier New"/>
          <w:sz w:val="14"/>
          <w:szCs w:val="14"/>
          <w:color w:val="auto"/>
        </w:rPr>
      </w:pPr>
    </w:p>
    <w:p>
      <w:pPr>
        <w:ind w:left="780" w:right="3399" w:firstLine="766"/>
        <w:spacing w:after="0" w:line="250" w:lineRule="auto"/>
        <w:tabs>
          <w:tab w:leader="none" w:pos="1976"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existing on the Initial Closing Day as set forth on Schedule 6B(2) and in an amount not to exceed the principal amount specified on such Schedule;</w:t>
      </w:r>
    </w:p>
    <w:p>
      <w:pPr>
        <w:spacing w:after="0" w:line="161" w:lineRule="exact"/>
        <w:rPr>
          <w:rFonts w:ascii="Courier New" w:cs="Courier New" w:eastAsia="Courier New" w:hAnsi="Courier New"/>
          <w:sz w:val="14"/>
          <w:szCs w:val="14"/>
          <w:color w:val="auto"/>
        </w:rPr>
      </w:pPr>
    </w:p>
    <w:p>
      <w:pPr>
        <w:ind w:left="780" w:right="3319" w:firstLine="766"/>
        <w:spacing w:after="0" w:line="251" w:lineRule="auto"/>
        <w:tabs>
          <w:tab w:leader="none" w:pos="206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of any Subsidiary owing to the Company or any other Subsidiary of the Company;</w:t>
      </w:r>
    </w:p>
    <w:p>
      <w:pPr>
        <w:spacing w:after="0" w:line="161" w:lineRule="exact"/>
        <w:rPr>
          <w:rFonts w:ascii="Courier New" w:cs="Courier New" w:eastAsia="Courier New" w:hAnsi="Courier New"/>
          <w:sz w:val="14"/>
          <w:szCs w:val="14"/>
          <w:color w:val="auto"/>
        </w:rPr>
      </w:pPr>
    </w:p>
    <w:p>
      <w:pPr>
        <w:ind w:left="780" w:right="3319" w:firstLine="766"/>
        <w:spacing w:after="0" w:line="251" w:lineRule="auto"/>
        <w:tabs>
          <w:tab w:leader="none" w:pos="1976"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represented by endorsement of negotiable instruments for collection in the ordinary course of business;</w:t>
      </w:r>
    </w:p>
    <w:p>
      <w:pPr>
        <w:spacing w:after="0" w:line="161" w:lineRule="exact"/>
        <w:rPr>
          <w:rFonts w:ascii="Courier New" w:cs="Courier New" w:eastAsia="Courier New" w:hAnsi="Courier New"/>
          <w:sz w:val="14"/>
          <w:szCs w:val="14"/>
          <w:color w:val="auto"/>
        </w:rPr>
      </w:pPr>
    </w:p>
    <w:p>
      <w:pPr>
        <w:ind w:left="780" w:right="3399" w:firstLine="766"/>
        <w:spacing w:after="0" w:line="250" w:lineRule="auto"/>
        <w:tabs>
          <w:tab w:leader="none" w:pos="189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Debt of the Company or any Subsidiary (whether Secured or Unsecured) incurred in the ordinary course of business as conducted on the date hereof.</w:t>
      </w:r>
    </w:p>
    <w:p>
      <w:pPr>
        <w:spacing w:after="0" w:line="162"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Notwithstanding the foregoing exceptions to the prohibition against incurring or maintaining Debt, the Company shall not permit at any time, prior to or after the incurrence thereof, the aggregate outstanding amount of Debt to exceed the limitations of paragraph 6A hereof or incur any Debt if a Default or Event of Default has occurred and is continuing.</w:t>
      </w:r>
    </w:p>
    <w:p>
      <w:pPr>
        <w:spacing w:after="0" w:line="163" w:lineRule="exact"/>
        <w:rPr>
          <w:sz w:val="20"/>
          <w:szCs w:val="20"/>
          <w:color w:val="auto"/>
        </w:rPr>
      </w:pPr>
    </w:p>
    <w:p>
      <w:pPr>
        <w:ind w:right="3579" w:firstLine="769"/>
        <w:spacing w:after="0" w:line="251" w:lineRule="auto"/>
        <w:rPr>
          <w:sz w:val="20"/>
          <w:szCs w:val="20"/>
          <w:color w:val="auto"/>
        </w:rPr>
      </w:pPr>
      <w:r>
        <w:rPr>
          <w:rFonts w:ascii="Courier New" w:cs="Courier New" w:eastAsia="Courier New" w:hAnsi="Courier New"/>
          <w:sz w:val="14"/>
          <w:szCs w:val="14"/>
          <w:color w:val="auto"/>
        </w:rPr>
        <w:t>6B(3) MERGER OR CONSOLIDATION. Merge, consolidate or exchange shares with any other Person, except that:</w:t>
      </w:r>
    </w:p>
    <w:p>
      <w:pPr>
        <w:sectPr>
          <w:pgSz w:w="11900" w:h="16838" w:orient="portrait"/>
          <w:cols w:equalWidth="0" w:num="1">
            <w:col w:w="10159"/>
          </w:cols>
          <w:pgMar w:left="300" w:top="448" w:right="1440" w:bottom="1440" w:gutter="0" w:footer="0" w:header="0"/>
        </w:sectPr>
      </w:pPr>
    </w:p>
    <w:bookmarkStart w:id="95" w:name="page96"/>
    <w:bookmarkEnd w:id="95"/>
    <w:p>
      <w:pPr>
        <w:jc w:val="right"/>
        <w:ind w:right="3319"/>
        <w:spacing w:after="0"/>
        <w:rPr>
          <w:sz w:val="20"/>
          <w:szCs w:val="20"/>
          <w:color w:val="auto"/>
        </w:rPr>
      </w:pPr>
      <w:r>
        <w:rPr>
          <w:rFonts w:ascii="Courier New" w:cs="Courier New" w:eastAsia="Courier New" w:hAnsi="Courier New"/>
          <w:sz w:val="14"/>
          <w:szCs w:val="14"/>
          <w:color w:val="auto"/>
        </w:rPr>
        <w:t>20</w:t>
      </w:r>
    </w:p>
    <w:p>
      <w:pPr>
        <w:spacing w:after="0" w:line="334" w:lineRule="exact"/>
        <w:rPr>
          <w:sz w:val="20"/>
          <w:szCs w:val="20"/>
          <w:color w:val="auto"/>
        </w:rPr>
      </w:pPr>
    </w:p>
    <w:p>
      <w:pPr>
        <w:ind w:left="780" w:right="3479" w:firstLine="766"/>
        <w:spacing w:after="0" w:line="251" w:lineRule="auto"/>
        <w:tabs>
          <w:tab w:leader="none" w:pos="189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may merge or consolidate with the Company or any other Subsidiary;</w:t>
      </w:r>
    </w:p>
    <w:p>
      <w:pPr>
        <w:spacing w:after="0" w:line="161" w:lineRule="exact"/>
        <w:rPr>
          <w:rFonts w:ascii="Courier New" w:cs="Courier New" w:eastAsia="Courier New" w:hAnsi="Courier New"/>
          <w:sz w:val="14"/>
          <w:szCs w:val="14"/>
          <w:color w:val="auto"/>
        </w:rPr>
      </w:pPr>
    </w:p>
    <w:p>
      <w:pPr>
        <w:ind w:left="780" w:right="3399" w:firstLine="766"/>
        <w:spacing w:after="0" w:line="249" w:lineRule="auto"/>
        <w:tabs>
          <w:tab w:leader="none" w:pos="1976"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merge or consolidate with any other corporation (including a Subsidiary) PROVIDED (A) the Company is the surviving corporation, and (B) immediately after giving effect to such transaction, no Default or Event of Default shall occur or exist;</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2062"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may merge or consolidate with any other corporation PROVIDED (A) such Subsidiary is the surviving corporation, and (B) immediately after giving effect to such transaction, no Default or Event of Default shall occur or exist; and</w:t>
      </w:r>
    </w:p>
    <w:p>
      <w:pPr>
        <w:spacing w:after="0" w:line="163" w:lineRule="exact"/>
        <w:rPr>
          <w:rFonts w:ascii="Courier New" w:cs="Courier New" w:eastAsia="Courier New" w:hAnsi="Courier New"/>
          <w:sz w:val="14"/>
          <w:szCs w:val="14"/>
          <w:color w:val="auto"/>
        </w:rPr>
      </w:pPr>
    </w:p>
    <w:p>
      <w:pPr>
        <w:ind w:left="780" w:right="3479" w:firstLine="766"/>
        <w:spacing w:after="0" w:line="251" w:lineRule="auto"/>
        <w:tabs>
          <w:tab w:leader="none" w:pos="1976"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Dunhill may merge or consolidated with any other Person in connection with a transaction permitted by paragraph 6C(iii); or</w:t>
      </w:r>
    </w:p>
    <w:p>
      <w:pPr>
        <w:spacing w:after="0" w:line="161" w:lineRule="exact"/>
        <w:rPr>
          <w:sz w:val="20"/>
          <w:szCs w:val="20"/>
          <w:color w:val="auto"/>
        </w:rPr>
      </w:pPr>
    </w:p>
    <w:p>
      <w:pPr>
        <w:ind w:right="3319" w:firstLine="769"/>
        <w:spacing w:after="0" w:line="251" w:lineRule="auto"/>
        <w:rPr>
          <w:sz w:val="20"/>
          <w:szCs w:val="20"/>
          <w:color w:val="auto"/>
        </w:rPr>
      </w:pPr>
      <w:r>
        <w:rPr>
          <w:rFonts w:ascii="Courier New" w:cs="Courier New" w:eastAsia="Courier New" w:hAnsi="Courier New"/>
          <w:sz w:val="14"/>
          <w:szCs w:val="14"/>
          <w:color w:val="auto"/>
        </w:rPr>
        <w:t>6B(4) INVESTMENTS. Make or permit to remain outstanding any Investments except any of the following:</w:t>
      </w:r>
    </w:p>
    <w:p>
      <w:pPr>
        <w:spacing w:after="0" w:line="161" w:lineRule="exact"/>
        <w:rPr>
          <w:sz w:val="20"/>
          <w:szCs w:val="20"/>
          <w:color w:val="auto"/>
        </w:rPr>
      </w:pPr>
    </w:p>
    <w:p>
      <w:pPr>
        <w:ind w:left="780" w:right="3919" w:firstLine="766"/>
        <w:spacing w:after="0" w:line="251" w:lineRule="auto"/>
        <w:tabs>
          <w:tab w:leader="none" w:pos="1891"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of any Person acquired in an Acquisition permitted hereunder;</w:t>
      </w:r>
    </w:p>
    <w:p>
      <w:pPr>
        <w:spacing w:after="0" w:line="161" w:lineRule="exact"/>
        <w:rPr>
          <w:rFonts w:ascii="Courier New" w:cs="Courier New" w:eastAsia="Courier New" w:hAnsi="Courier New"/>
          <w:sz w:val="14"/>
          <w:szCs w:val="14"/>
          <w:color w:val="auto"/>
        </w:rPr>
      </w:pPr>
    </w:p>
    <w:p>
      <w:pPr>
        <w:ind w:left="1980" w:hanging="434"/>
        <w:spacing w:after="0"/>
        <w:tabs>
          <w:tab w:leader="none" w:pos="19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Securities;</w:t>
      </w:r>
    </w:p>
    <w:p>
      <w:pPr>
        <w:spacing w:after="0" w:line="170" w:lineRule="exact"/>
        <w:rPr>
          <w:rFonts w:ascii="Courier New" w:cs="Courier New" w:eastAsia="Courier New" w:hAnsi="Courier New"/>
          <w:sz w:val="14"/>
          <w:szCs w:val="14"/>
          <w:color w:val="auto"/>
        </w:rPr>
      </w:pPr>
    </w:p>
    <w:p>
      <w:pPr>
        <w:ind w:left="780" w:right="3739" w:firstLine="766"/>
        <w:spacing w:after="0" w:line="251" w:lineRule="auto"/>
        <w:tabs>
          <w:tab w:leader="none" w:pos="206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existing on the Initial Closing Day and specified in Schedule 6B(4);</w:t>
      </w:r>
    </w:p>
    <w:p>
      <w:pPr>
        <w:spacing w:after="0" w:line="161" w:lineRule="exact"/>
        <w:rPr>
          <w:rFonts w:ascii="Courier New" w:cs="Courier New" w:eastAsia="Courier New" w:hAnsi="Courier New"/>
          <w:sz w:val="14"/>
          <w:szCs w:val="14"/>
          <w:color w:val="auto"/>
        </w:rPr>
      </w:pPr>
    </w:p>
    <w:p>
      <w:pPr>
        <w:ind w:left="780" w:right="3399" w:firstLine="766"/>
        <w:spacing w:after="0" w:line="249" w:lineRule="auto"/>
        <w:tabs>
          <w:tab w:leader="none" w:pos="1976"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arising and trade credit granted in the ordinary course of business and any securities or other assets received in satisfaction or partial satisfaction thereof in connection with accounts of financially troubled Persons to the extent reasonably necessary in order to prevent or limit loss;</w:t>
      </w:r>
    </w:p>
    <w:p>
      <w:pPr>
        <w:spacing w:after="0" w:line="163" w:lineRule="exact"/>
        <w:rPr>
          <w:rFonts w:ascii="Courier New" w:cs="Courier New" w:eastAsia="Courier New" w:hAnsi="Courier New"/>
          <w:sz w:val="14"/>
          <w:szCs w:val="14"/>
          <w:color w:val="auto"/>
        </w:rPr>
      </w:pPr>
    </w:p>
    <w:p>
      <w:pPr>
        <w:ind w:left="1880" w:hanging="334"/>
        <w:spacing w:after="0"/>
        <w:tabs>
          <w:tab w:leader="none" w:pos="18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Subsidiaries which are Guarantors;</w:t>
      </w:r>
    </w:p>
    <w:p>
      <w:pPr>
        <w:spacing w:after="0" w:line="170"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investments in other Persons provided that (A) the aggregate costs incurred in making such investments (reduced by cash dividends or other cash payments received on or in consideration of such investments) shall not exceed $20,000,000 in the aggregate at any time and (B) prior to and immediately after giving effect to such investment, no Default or Event of Default shall exist and be continuing;</w:t>
      </w:r>
    </w:p>
    <w:p>
      <w:pPr>
        <w:spacing w:after="0" w:line="327" w:lineRule="exact"/>
        <w:rPr>
          <w:rFonts w:ascii="Courier New" w:cs="Courier New" w:eastAsia="Courier New" w:hAnsi="Courier New"/>
          <w:sz w:val="14"/>
          <w:szCs w:val="14"/>
          <w:color w:val="auto"/>
        </w:rPr>
      </w:pPr>
    </w:p>
    <w:p>
      <w:pPr>
        <w:ind w:left="780" w:right="3399" w:firstLine="766"/>
        <w:spacing w:after="0" w:line="251" w:lineRule="auto"/>
        <w:tabs>
          <w:tab w:leader="none" w:pos="206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advances between or among the Company and the Guarantors permitted by paragraph 6B(2)(iii);</w:t>
      </w:r>
    </w:p>
    <w:p>
      <w:pPr>
        <w:spacing w:after="0" w:line="161" w:lineRule="exact"/>
        <w:rPr>
          <w:rFonts w:ascii="Courier New" w:cs="Courier New" w:eastAsia="Courier New" w:hAnsi="Courier New"/>
          <w:sz w:val="14"/>
          <w:szCs w:val="14"/>
          <w:color w:val="auto"/>
        </w:rPr>
      </w:pPr>
    </w:p>
    <w:p>
      <w:pPr>
        <w:ind w:left="780" w:right="3399" w:firstLine="766"/>
        <w:spacing w:after="0" w:line="250" w:lineRule="auto"/>
        <w:tabs>
          <w:tab w:leader="none" w:pos="214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travel and entertainment advances made to employees of the Company or any of its Subsidiaries in the ordinary course of business;</w:t>
      </w:r>
    </w:p>
    <w:p>
      <w:pPr>
        <w:spacing w:after="0" w:line="161" w:lineRule="exact"/>
        <w:rPr>
          <w:rFonts w:ascii="Courier New" w:cs="Courier New" w:eastAsia="Courier New" w:hAnsi="Courier New"/>
          <w:sz w:val="14"/>
          <w:szCs w:val="14"/>
          <w:color w:val="auto"/>
        </w:rPr>
      </w:pPr>
    </w:p>
    <w:p>
      <w:pPr>
        <w:ind w:left="780" w:right="3399" w:firstLine="766"/>
        <w:spacing w:after="0" w:line="250" w:lineRule="auto"/>
        <w:tabs>
          <w:tab w:leader="none" w:pos="1976"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consisting of ownership interests in another Person resulting from the dispositions or mergers permitted under paragraphs 6C(iii) or 6B(3); and</w:t>
      </w:r>
    </w:p>
    <w:p>
      <w:pPr>
        <w:sectPr>
          <w:pgSz w:w="11900" w:h="16838" w:orient="portrait"/>
          <w:cols w:equalWidth="0" w:num="1">
            <w:col w:w="10159"/>
          </w:cols>
          <w:pgMar w:left="300" w:top="448" w:right="1440" w:bottom="1440" w:gutter="0" w:footer="0" w:header="0"/>
        </w:sectPr>
      </w:pPr>
    </w:p>
    <w:bookmarkStart w:id="96" w:name="page97"/>
    <w:bookmarkEnd w:id="96"/>
    <w:p>
      <w:pPr>
        <w:jc w:val="right"/>
        <w:ind w:right="3319"/>
        <w:spacing w:after="0"/>
        <w:rPr>
          <w:sz w:val="20"/>
          <w:szCs w:val="20"/>
          <w:color w:val="auto"/>
        </w:rPr>
      </w:pPr>
      <w:r>
        <w:rPr>
          <w:rFonts w:ascii="Courier New" w:cs="Courier New" w:eastAsia="Courier New" w:hAnsi="Courier New"/>
          <w:sz w:val="14"/>
          <w:szCs w:val="14"/>
          <w:color w:val="auto"/>
        </w:rPr>
        <w:t>21</w:t>
      </w:r>
    </w:p>
    <w:p>
      <w:pPr>
        <w:spacing w:after="0" w:line="334" w:lineRule="exact"/>
        <w:rPr>
          <w:sz w:val="20"/>
          <w:szCs w:val="20"/>
          <w:color w:val="auto"/>
        </w:rPr>
      </w:pPr>
    </w:p>
    <w:p>
      <w:pPr>
        <w:ind w:left="780" w:right="3579" w:firstLine="766"/>
        <w:spacing w:after="0" w:line="250" w:lineRule="auto"/>
        <w:tabs>
          <w:tab w:leader="none" w:pos="189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of purchasers of Dunhill (A) not exceeding an aggregate principal amount of $25,000,000 and (B) having a repayment term less than or equal to seven years.</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6B(5) TRANSACTIONS WITH RELATED PARTY. Except as permitted in paragraph 6B(3) and 6B(4), effect any transaction with any Affiliate or Subsidiary by which any asset or services of the Company or a Subsidiary of the Company is transferred to such Affiliate or Subsidiary, or from such Affiliate or Subsidiary or enter into any other transaction with an Affiliate or Subsidiary, on terms more favorable than would be reasonably expected to be given in a similar transaction with an unrelated entity.</w:t>
      </w:r>
    </w:p>
    <w:p>
      <w:pPr>
        <w:spacing w:after="0" w:line="163"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6C. SALE OF ASSETS. The Company will not, and will not permit any Subsidiary to, Dispose of any property or assets (including the Capital Stock of a Subsidiary), except:</w:t>
      </w:r>
    </w:p>
    <w:p>
      <w:pPr>
        <w:spacing w:after="0" w:line="162" w:lineRule="exact"/>
        <w:rPr>
          <w:sz w:val="20"/>
          <w:szCs w:val="20"/>
          <w:color w:val="auto"/>
        </w:rPr>
      </w:pPr>
    </w:p>
    <w:p>
      <w:pPr>
        <w:ind w:left="1880" w:hanging="334"/>
        <w:spacing w:after="0"/>
        <w:tabs>
          <w:tab w:leader="none" w:pos="18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inventory in the ordinary course of business; or</w:t>
      </w:r>
    </w:p>
    <w:p>
      <w:pPr>
        <w:spacing w:after="0" w:line="170" w:lineRule="exact"/>
        <w:rPr>
          <w:rFonts w:ascii="Courier New" w:cs="Courier New" w:eastAsia="Courier New" w:hAnsi="Courier New"/>
          <w:sz w:val="14"/>
          <w:szCs w:val="14"/>
          <w:color w:val="auto"/>
        </w:rPr>
      </w:pPr>
    </w:p>
    <w:p>
      <w:pPr>
        <w:ind w:left="780" w:right="3479" w:firstLine="766"/>
        <w:spacing w:after="0" w:line="251" w:lineRule="auto"/>
        <w:tabs>
          <w:tab w:leader="none" w:pos="1976"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may Dispose of its assets to the Company or a wholly-owned Subsidiary; or</w:t>
      </w:r>
    </w:p>
    <w:p>
      <w:pPr>
        <w:spacing w:after="0" w:line="161" w:lineRule="exact"/>
        <w:rPr>
          <w:rFonts w:ascii="Courier New" w:cs="Courier New" w:eastAsia="Courier New" w:hAnsi="Courier New"/>
          <w:sz w:val="14"/>
          <w:szCs w:val="14"/>
          <w:color w:val="auto"/>
        </w:rPr>
      </w:pPr>
    </w:p>
    <w:p>
      <w:pPr>
        <w:ind w:left="780" w:right="3399" w:firstLine="766"/>
        <w:spacing w:after="0" w:line="250" w:lineRule="auto"/>
        <w:tabs>
          <w:tab w:leader="none" w:pos="206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substantially all of the stock or assets of Dunhill, Inc. for Fair Market Value in which event, the Noteholders agree to release the Guaranty Agreement of Dunhill, Inc.;</w:t>
      </w:r>
    </w:p>
    <w:p>
      <w:pPr>
        <w:spacing w:after="0" w:line="161" w:lineRule="exact"/>
        <w:rPr>
          <w:rFonts w:ascii="Courier New" w:cs="Courier New" w:eastAsia="Courier New" w:hAnsi="Courier New"/>
          <w:sz w:val="14"/>
          <w:szCs w:val="14"/>
          <w:color w:val="auto"/>
        </w:rPr>
      </w:pPr>
    </w:p>
    <w:p>
      <w:pPr>
        <w:ind w:left="780" w:right="3319" w:firstLine="766"/>
        <w:spacing w:after="0" w:line="250" w:lineRule="auto"/>
        <w:tabs>
          <w:tab w:leader="none" w:pos="1976"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Disposition of Eligible Securities in the ordinary course of management of the investment portfolio of the Company and its Subsidiaries;</w:t>
      </w:r>
    </w:p>
    <w:p>
      <w:pPr>
        <w:spacing w:after="0" w:line="161" w:lineRule="exact"/>
        <w:rPr>
          <w:rFonts w:ascii="Courier New" w:cs="Courier New" w:eastAsia="Courier New" w:hAnsi="Courier New"/>
          <w:sz w:val="14"/>
          <w:szCs w:val="14"/>
          <w:color w:val="auto"/>
        </w:rPr>
      </w:pPr>
    </w:p>
    <w:p>
      <w:pPr>
        <w:ind w:left="780" w:right="3659" w:firstLine="766"/>
        <w:spacing w:after="0" w:line="250" w:lineRule="auto"/>
        <w:tabs>
          <w:tab w:leader="none" w:pos="189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of property that is substantially worn, damaged, obsolete or in the judgment of the Company, no longer best used or useful in its business or that of any Subsidiary;</w:t>
      </w:r>
    </w:p>
    <w:p>
      <w:pPr>
        <w:spacing w:after="0" w:line="161" w:lineRule="exact"/>
        <w:rPr>
          <w:rFonts w:ascii="Courier New" w:cs="Courier New" w:eastAsia="Courier New" w:hAnsi="Courier New"/>
          <w:sz w:val="14"/>
          <w:szCs w:val="14"/>
          <w:color w:val="auto"/>
        </w:rPr>
      </w:pPr>
    </w:p>
    <w:p>
      <w:pPr>
        <w:ind w:left="1980" w:hanging="434"/>
        <w:spacing w:after="0"/>
        <w:tabs>
          <w:tab w:leader="none" w:pos="19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Receivables Financings;</w:t>
      </w:r>
    </w:p>
    <w:p>
      <w:pPr>
        <w:spacing w:after="0" w:line="170" w:lineRule="exact"/>
        <w:rPr>
          <w:rFonts w:ascii="Courier New" w:cs="Courier New" w:eastAsia="Courier New" w:hAnsi="Courier New"/>
          <w:sz w:val="14"/>
          <w:szCs w:val="14"/>
          <w:color w:val="auto"/>
        </w:rPr>
      </w:pPr>
    </w:p>
    <w:p>
      <w:pPr>
        <w:ind w:left="780" w:right="3399" w:firstLine="766"/>
        <w:spacing w:after="0" w:line="250" w:lineRule="auto"/>
        <w:tabs>
          <w:tab w:leader="none" w:pos="206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Subsidiary may Dispose of its assets (whether or not leased back) so long as, immediately after giving effect to such proposed Disposition:</w:t>
      </w:r>
    </w:p>
    <w:p>
      <w:pPr>
        <w:spacing w:after="0" w:line="161" w:lineRule="exact"/>
        <w:rPr>
          <w:rFonts w:ascii="Courier New" w:cs="Courier New" w:eastAsia="Courier New" w:hAnsi="Courier New"/>
          <w:sz w:val="14"/>
          <w:szCs w:val="14"/>
          <w:color w:val="auto"/>
        </w:rPr>
      </w:pPr>
    </w:p>
    <w:p>
      <w:pPr>
        <w:ind w:left="1540" w:right="3399" w:firstLine="775"/>
        <w:spacing w:after="0" w:line="250" w:lineRule="auto"/>
        <w:tabs>
          <w:tab w:leader="none" w:pos="2651"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for such assets represents the Fair Market Value of such assets at the time of such Disposition; and</w:t>
      </w:r>
    </w:p>
    <w:p>
      <w:pPr>
        <w:spacing w:after="0" w:line="161" w:lineRule="exact"/>
        <w:rPr>
          <w:rFonts w:ascii="Courier New" w:cs="Courier New" w:eastAsia="Courier New" w:hAnsi="Courier New"/>
          <w:sz w:val="14"/>
          <w:szCs w:val="14"/>
          <w:color w:val="auto"/>
        </w:rPr>
      </w:pPr>
    </w:p>
    <w:p>
      <w:pPr>
        <w:ind w:left="1540" w:right="3319" w:firstLine="775"/>
        <w:spacing w:after="0" w:line="249" w:lineRule="auto"/>
        <w:tabs>
          <w:tab w:leader="none" w:pos="2651"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net book value of all assets so Disposed of by the Company and its Subsidiaries (other than pursuant to clause (iv)) does not constitute a Substantial Part of the Consolidated assets or (2) the proceeds of such Disposition are reinvested in a similar business or assets within 12 months of such Disposition; and</w:t>
      </w:r>
    </w:p>
    <w:p>
      <w:pPr>
        <w:spacing w:after="0" w:line="163" w:lineRule="exact"/>
        <w:rPr>
          <w:rFonts w:ascii="Courier New" w:cs="Courier New" w:eastAsia="Courier New" w:hAnsi="Courier New"/>
          <w:sz w:val="14"/>
          <w:szCs w:val="14"/>
          <w:color w:val="auto"/>
        </w:rPr>
      </w:pPr>
    </w:p>
    <w:p>
      <w:pPr>
        <w:ind w:left="2660" w:hanging="345"/>
        <w:spacing w:after="0"/>
        <w:tabs>
          <w:tab w:leader="none" w:pos="266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exist.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purposes of this paragraph 6C:</w:t>
      </w:r>
    </w:p>
    <w:p>
      <w:pPr>
        <w:sectPr>
          <w:pgSz w:w="11900" w:h="16838" w:orient="portrait"/>
          <w:cols w:equalWidth="0" w:num="1">
            <w:col w:w="10159"/>
          </w:cols>
          <w:pgMar w:left="300" w:top="448" w:right="1440" w:bottom="1440" w:gutter="0" w:footer="0" w:header="0"/>
        </w:sectPr>
      </w:pPr>
    </w:p>
    <w:bookmarkStart w:id="97" w:name="page98"/>
    <w:bookmarkEnd w:id="97"/>
    <w:p>
      <w:pPr>
        <w:jc w:val="right"/>
        <w:ind w:right="3319"/>
        <w:spacing w:after="0"/>
        <w:rPr>
          <w:sz w:val="20"/>
          <w:szCs w:val="20"/>
          <w:color w:val="auto"/>
        </w:rPr>
      </w:pPr>
      <w:r>
        <w:rPr>
          <w:rFonts w:ascii="Courier New" w:cs="Courier New" w:eastAsia="Courier New" w:hAnsi="Courier New"/>
          <w:sz w:val="14"/>
          <w:szCs w:val="14"/>
          <w:color w:val="auto"/>
        </w:rPr>
        <w:t>22</w:t>
      </w:r>
    </w:p>
    <w:p>
      <w:pPr>
        <w:spacing w:after="0" w:line="334" w:lineRule="exact"/>
        <w:rPr>
          <w:sz w:val="20"/>
          <w:szCs w:val="20"/>
          <w:color w:val="auto"/>
        </w:rPr>
      </w:pPr>
    </w:p>
    <w:p>
      <w:pPr>
        <w:ind w:left="780" w:right="3319" w:firstLine="766"/>
        <w:spacing w:after="0" w:line="250" w:lineRule="auto"/>
        <w:tabs>
          <w:tab w:leader="none" w:pos="189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"DISPOSE" means the sale, lease, transfer or other disposition of property of the Company or any of its Subsidiaries, and "DISPOSITION" and "DISPOSED OF" has a corresponding meaning to Dispose;</w:t>
      </w:r>
    </w:p>
    <w:p>
      <w:pPr>
        <w:spacing w:after="0" w:line="161" w:lineRule="exact"/>
        <w:rPr>
          <w:rFonts w:ascii="Courier New" w:cs="Courier New" w:eastAsia="Courier New" w:hAnsi="Courier New"/>
          <w:sz w:val="14"/>
          <w:szCs w:val="14"/>
          <w:color w:val="auto"/>
        </w:rPr>
      </w:pPr>
    </w:p>
    <w:p>
      <w:pPr>
        <w:jc w:val="both"/>
        <w:ind w:left="780" w:right="3399" w:firstLine="766"/>
        <w:spacing w:after="0" w:line="250" w:lineRule="auto"/>
        <w:tabs>
          <w:tab w:leader="none" w:pos="1976"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NET BOOK VALUE. The net book value of any assets shall be determined as of the respective date of Disposition of those assets; and</w:t>
      </w:r>
    </w:p>
    <w:p>
      <w:pPr>
        <w:spacing w:after="0" w:line="161" w:lineRule="exact"/>
        <w:rPr>
          <w:rFonts w:ascii="Courier New" w:cs="Courier New" w:eastAsia="Courier New" w:hAnsi="Courier New"/>
          <w:sz w:val="14"/>
          <w:szCs w:val="14"/>
          <w:color w:val="auto"/>
        </w:rPr>
      </w:pPr>
    </w:p>
    <w:p>
      <w:pPr>
        <w:ind w:left="780" w:right="3319" w:firstLine="766"/>
        <w:spacing w:after="0" w:line="249" w:lineRule="auto"/>
        <w:tabs>
          <w:tab w:leader="none" w:pos="206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LESS THAN ALL THE STOCK OF A SUBSIDIARY. In the case of the sale or issuance of the stock of a Subsidiary, the amount of Consolidated Assets contributed by the stock Disposed of shall be assumed to be the percentage of outstanding stock sold or to be sold.</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6D. SUBSIDIARY STOCK AND DEBT. The Company will not:</w:t>
      </w:r>
    </w:p>
    <w:p>
      <w:pPr>
        <w:spacing w:after="0" w:line="170" w:lineRule="exact"/>
        <w:rPr>
          <w:sz w:val="20"/>
          <w:szCs w:val="20"/>
          <w:color w:val="auto"/>
        </w:rPr>
      </w:pPr>
    </w:p>
    <w:p>
      <w:pPr>
        <w:jc w:val="both"/>
        <w:ind w:left="780" w:right="3319" w:firstLine="766"/>
        <w:spacing w:after="0" w:line="249" w:lineRule="auto"/>
        <w:tabs>
          <w:tab w:leader="none" w:pos="189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sell, assign, pledge or otherwise dispose of any Debt of or any shares of stock of (or warrants, rights or options to acquire stock of) any Subsidiary except to a wholly-owned Subsidiary and except as permitted pursuant to paragraph 6C;</w:t>
      </w:r>
    </w:p>
    <w:p>
      <w:pPr>
        <w:spacing w:after="0" w:line="163" w:lineRule="exact"/>
        <w:rPr>
          <w:rFonts w:ascii="Courier New" w:cs="Courier New" w:eastAsia="Courier New" w:hAnsi="Courier New"/>
          <w:sz w:val="14"/>
          <w:szCs w:val="14"/>
          <w:color w:val="auto"/>
        </w:rPr>
      </w:pPr>
    </w:p>
    <w:p>
      <w:pPr>
        <w:ind w:left="780" w:right="3479" w:firstLine="766"/>
        <w:spacing w:after="0" w:line="249" w:lineRule="auto"/>
        <w:tabs>
          <w:tab w:leader="none" w:pos="1976"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Subsidiary directly or indirectly to sell, assign, pledge or otherwise dispose of any Debt of the Company or any other Subsidiary, or any shares of stock of (or warrants, rights or options to acquire stock of) any other Subsidiary, except to the Company or a wholly-owned Subsidiary and except as permitted pursuant to paragraph 6C;</w:t>
      </w:r>
    </w:p>
    <w:p>
      <w:pPr>
        <w:spacing w:after="0" w:line="163" w:lineRule="exact"/>
        <w:rPr>
          <w:rFonts w:ascii="Courier New" w:cs="Courier New" w:eastAsia="Courier New" w:hAnsi="Courier New"/>
          <w:sz w:val="14"/>
          <w:szCs w:val="14"/>
          <w:color w:val="auto"/>
        </w:rPr>
      </w:pPr>
    </w:p>
    <w:p>
      <w:pPr>
        <w:jc w:val="both"/>
        <w:ind w:left="780" w:right="3319" w:firstLine="766"/>
        <w:spacing w:after="0" w:line="249" w:lineRule="auto"/>
        <w:tabs>
          <w:tab w:leader="none" w:pos="2062"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Subsidiary directly or indirectly to issue or sell any shares of its stock (or warrants, rights or options to acquire its stock) except to the Company or a wholly-owned Subsidiary and except as permitted pursuant to paragraph 6B(3) and 6C; or</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Subsidiary to enter into or otherwise be bound by or subject to any contract or agreement (including, without limitation, any provision of its certificate or articles of incorporation or bylaws) that restricts its ability to pay dividends or other distributions on account of its stock except for such restrictions set forth in the Bank Agreement in effect on the Initial Closing Day; or</w:t>
      </w:r>
    </w:p>
    <w:p>
      <w:pPr>
        <w:spacing w:after="0" w:line="327" w:lineRule="exact"/>
        <w:rPr>
          <w:rFonts w:ascii="Courier New" w:cs="Courier New" w:eastAsia="Courier New" w:hAnsi="Courier New"/>
          <w:sz w:val="14"/>
          <w:szCs w:val="14"/>
          <w:color w:val="auto"/>
        </w:rPr>
      </w:pPr>
    </w:p>
    <w:p>
      <w:pPr>
        <w:ind w:left="780" w:right="3319" w:firstLine="766"/>
        <w:spacing w:after="0" w:line="251" w:lineRule="auto"/>
        <w:tabs>
          <w:tab w:leader="none" w:pos="189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Subsidiary to create, incur, assume or maintain any Debt except as permitted by paragraph 6B(2).</w:t>
      </w:r>
    </w:p>
    <w:p>
      <w:pPr>
        <w:spacing w:after="0" w:line="161"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6E. SALE OF RECEIVABLES. The Company covenants that it will not, and will not permit any Subsidiary to, sell (with or without recourse), or discount or otherwise sell for less than the face value thereof, any of its Receivables other than in connection with a Qualified Receivables Financing.</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6F. ERISA. The Company covenants that it will not, nor permit 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to:</w:t>
      </w:r>
    </w:p>
    <w:p>
      <w:pPr>
        <w:sectPr>
          <w:pgSz w:w="11900" w:h="16838" w:orient="portrait"/>
          <w:cols w:equalWidth="0" w:num="1">
            <w:col w:w="10159"/>
          </w:cols>
          <w:pgMar w:left="300" w:top="448" w:right="1440" w:bottom="1440" w:gutter="0" w:footer="0" w:header="0"/>
        </w:sectPr>
      </w:pPr>
    </w:p>
    <w:bookmarkStart w:id="98" w:name="page99"/>
    <w:bookmarkEnd w:id="98"/>
    <w:p>
      <w:pPr>
        <w:jc w:val="right"/>
        <w:ind w:right="3319"/>
        <w:spacing w:after="0"/>
        <w:rPr>
          <w:sz w:val="20"/>
          <w:szCs w:val="20"/>
          <w:color w:val="auto"/>
        </w:rPr>
      </w:pPr>
      <w:r>
        <w:rPr>
          <w:rFonts w:ascii="Courier New" w:cs="Courier New" w:eastAsia="Courier New" w:hAnsi="Courier New"/>
          <w:sz w:val="14"/>
          <w:szCs w:val="14"/>
          <w:color w:val="auto"/>
        </w:rPr>
        <w:t>23</w:t>
      </w:r>
    </w:p>
    <w:p>
      <w:pPr>
        <w:spacing w:after="0" w:line="334" w:lineRule="exact"/>
        <w:rPr>
          <w:sz w:val="20"/>
          <w:szCs w:val="20"/>
          <w:color w:val="auto"/>
        </w:rPr>
      </w:pPr>
    </w:p>
    <w:p>
      <w:pPr>
        <w:ind w:left="780" w:right="3999" w:firstLine="766"/>
        <w:spacing w:after="0" w:line="250" w:lineRule="auto"/>
        <w:tabs>
          <w:tab w:leader="none" w:pos="189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or withdraw from any Plan (other than a Multiemployer Plan) resulting in the incurrence of any material liability to the Pension Benefit Guaranty Corporation;</w:t>
      </w:r>
    </w:p>
    <w:p>
      <w:pPr>
        <w:spacing w:after="0" w:line="161" w:lineRule="exact"/>
        <w:rPr>
          <w:rFonts w:ascii="Courier New" w:cs="Courier New" w:eastAsia="Courier New" w:hAnsi="Courier New"/>
          <w:sz w:val="14"/>
          <w:szCs w:val="14"/>
          <w:color w:val="auto"/>
        </w:rPr>
      </w:pPr>
    </w:p>
    <w:p>
      <w:pPr>
        <w:ind w:left="780" w:right="3479" w:firstLine="766"/>
        <w:spacing w:after="0" w:line="249" w:lineRule="auto"/>
        <w:tabs>
          <w:tab w:leader="none" w:pos="1976"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or permit any Person to engage in any prohibited transaction (as defined in Section 4975 of the Code) involving any Plan (other than a Multiemployer Plan) which would subject the Company or any Subsidiary to any material tax, penalty or other liability;</w:t>
      </w:r>
    </w:p>
    <w:p>
      <w:pPr>
        <w:spacing w:after="0" w:line="163" w:lineRule="exact"/>
        <w:rPr>
          <w:rFonts w:ascii="Courier New" w:cs="Courier New" w:eastAsia="Courier New" w:hAnsi="Courier New"/>
          <w:sz w:val="14"/>
          <w:szCs w:val="14"/>
          <w:color w:val="auto"/>
        </w:rPr>
      </w:pPr>
    </w:p>
    <w:p>
      <w:pPr>
        <w:ind w:left="780" w:right="3399" w:firstLine="766"/>
        <w:spacing w:after="0" w:line="249" w:lineRule="auto"/>
        <w:tabs>
          <w:tab w:leader="none" w:pos="206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or suffer to exist any material accumulated funding deficiency (as defined in section 302 of ERISA and section 412 of the Code), whether or not waived, involving any Plan (other than a Multiemployer Plan); or</w:t>
      </w:r>
    </w:p>
    <w:p>
      <w:pPr>
        <w:spacing w:after="0" w:line="163" w:lineRule="exact"/>
        <w:rPr>
          <w:rFonts w:ascii="Courier New" w:cs="Courier New" w:eastAsia="Courier New" w:hAnsi="Courier New"/>
          <w:sz w:val="14"/>
          <w:szCs w:val="14"/>
          <w:color w:val="auto"/>
        </w:rPr>
      </w:pPr>
    </w:p>
    <w:p>
      <w:pPr>
        <w:ind w:left="780" w:right="3739" w:firstLine="766"/>
        <w:spacing w:after="0" w:line="250" w:lineRule="auto"/>
        <w:tabs>
          <w:tab w:leader="none" w:pos="1976"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 or suffer to exist any risk or condition which presents a risk of incurring a material liability to the Pension Benefit Guaranty Corporation.</w:t>
      </w:r>
    </w:p>
    <w:p>
      <w:pPr>
        <w:spacing w:after="0" w:line="162"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6G. ENVIRONMENTAL MATTERS. The Company covenants that it will not, and will not permit any Third Party to, use, produce, manufacture, process, generate, store, dispose of, manage at, or ship or transport to or from the Properties any Hazardous Materials except for Hazardous Materials used, produced, released or managed in the ordinary course of business in compliance with all applicable Environmental Requirements except where the failure to do so could not reasonably be expected to have a material adverse effect on the business, operations or financial condition of the Company and its Subsidiaries taken as a whole and except for Hazardous Materials released in amounts which do not require remediation pursuant to applicable Environmental Requirements or if remediation is required, such remediation could not reasonably be expected to have a material adverse effect on the business, operations or financial condition of the Company and its Subsidiaries taken as a whole.</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6H. SPECIFIED LAWS. Neither the Company nor any agent acting on its behalf will take any action which could reasonably be expected to cause this Agreement or the Notes to violate Regulation T or any other regulation of the Board of Governors of the Federal Reserve System or to violate the Exchange Act, in any case as in effect now or as the same may hereafter be in effect.</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6I. BUSINESS ACTIVITIES. Neither the Company nor any of its Subsidiaries will engage directly or indirectly (whether through subsidiaries or otherwise) in any type of business other than the businesses conducted by the Company or such Subsidiary on the date hereof and in related businesses.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7. EVENTS OF DEFAULT.</w:t>
      </w:r>
    </w:p>
    <w:p>
      <w:pPr>
        <w:spacing w:after="0" w:line="170" w:lineRule="exact"/>
        <w:rPr>
          <w:sz w:val="20"/>
          <w:szCs w:val="20"/>
          <w:color w:val="auto"/>
        </w:rPr>
      </w:pPr>
    </w:p>
    <w:p>
      <w:pPr>
        <w:ind w:right="3659" w:firstLine="769"/>
        <w:spacing w:after="0" w:line="249" w:lineRule="auto"/>
        <w:rPr>
          <w:sz w:val="20"/>
          <w:szCs w:val="20"/>
          <w:color w:val="auto"/>
        </w:rPr>
      </w:pPr>
      <w:r>
        <w:rPr>
          <w:rFonts w:ascii="Courier New" w:cs="Courier New" w:eastAsia="Courier New" w:hAnsi="Courier New"/>
          <w:sz w:val="14"/>
          <w:szCs w:val="14"/>
          <w:color w:val="auto"/>
        </w:rPr>
        <w:t>7A. ACCELERATION. If any of the following events shall occur and be continuing for any reason whatsoever (and whether such occurrence shall be voluntary or involuntary or come about or be effected by operation of law or otherwise):</w:t>
      </w:r>
    </w:p>
    <w:p>
      <w:pPr>
        <w:spacing w:after="0" w:line="163" w:lineRule="exact"/>
        <w:rPr>
          <w:sz w:val="20"/>
          <w:szCs w:val="20"/>
          <w:color w:val="auto"/>
        </w:rPr>
      </w:pPr>
    </w:p>
    <w:p>
      <w:pPr>
        <w:ind w:left="780" w:right="3319" w:firstLine="766"/>
        <w:spacing w:after="0" w:line="249" w:lineRule="auto"/>
        <w:tabs>
          <w:tab w:leader="none" w:pos="189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any principal of, or Yield- Maintenance Amount payable with respect to, any Note when the same shall become due, either by the terms thereof or otherwise as herein provided; or</w:t>
      </w:r>
    </w:p>
    <w:p>
      <w:pPr>
        <w:sectPr>
          <w:pgSz w:w="11900" w:h="16838" w:orient="portrait"/>
          <w:cols w:equalWidth="0" w:num="1">
            <w:col w:w="10159"/>
          </w:cols>
          <w:pgMar w:left="300" w:top="448" w:right="1440" w:bottom="1440" w:gutter="0" w:footer="0" w:header="0"/>
        </w:sectPr>
      </w:pPr>
    </w:p>
    <w:bookmarkStart w:id="99" w:name="page100"/>
    <w:bookmarkEnd w:id="99"/>
    <w:p>
      <w:pPr>
        <w:jc w:val="right"/>
        <w:ind w:right="3319"/>
        <w:spacing w:after="0"/>
        <w:rPr>
          <w:sz w:val="20"/>
          <w:szCs w:val="20"/>
          <w:color w:val="auto"/>
        </w:rPr>
      </w:pPr>
      <w:r>
        <w:rPr>
          <w:rFonts w:ascii="Courier New" w:cs="Courier New" w:eastAsia="Courier New" w:hAnsi="Courier New"/>
          <w:sz w:val="14"/>
          <w:szCs w:val="14"/>
          <w:color w:val="auto"/>
        </w:rPr>
        <w:t>24</w:t>
      </w:r>
    </w:p>
    <w:p>
      <w:pPr>
        <w:spacing w:after="0" w:line="334" w:lineRule="exact"/>
        <w:rPr>
          <w:sz w:val="20"/>
          <w:szCs w:val="20"/>
          <w:color w:val="auto"/>
        </w:rPr>
      </w:pPr>
    </w:p>
    <w:p>
      <w:pPr>
        <w:ind w:right="3579" w:firstLine="766"/>
        <w:spacing w:after="0" w:line="251" w:lineRule="auto"/>
        <w:tabs>
          <w:tab w:leader="none" w:pos="1196"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any interest on any Note for more than 5 days after the date due; or</w:t>
      </w:r>
    </w:p>
    <w:p>
      <w:pPr>
        <w:spacing w:after="0" w:line="161" w:lineRule="exact"/>
        <w:rPr>
          <w:rFonts w:ascii="Courier New" w:cs="Courier New" w:eastAsia="Courier New" w:hAnsi="Courier New"/>
          <w:sz w:val="14"/>
          <w:szCs w:val="14"/>
          <w:color w:val="auto"/>
        </w:rPr>
      </w:pPr>
    </w:p>
    <w:p>
      <w:pPr>
        <w:ind w:right="3319" w:firstLine="766"/>
        <w:spacing w:after="0" w:line="248" w:lineRule="auto"/>
        <w:tabs>
          <w:tab w:leader="none" w:pos="128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Subsidiary defaults (whether as primary obligor or as guarantor or other surety) in any payment of principal of or interest on any other obligation for money borrowed (or any Capitalized Lease Obligation, any obligation under a conditional sale or other title retention agreement, any obligation issued or assumed as full or partial payment for property whether or not secured by a purchase money mortgage or any obligation under notes payable or drafts accepted representing extensions of credit) beyond any period of grace provided with respect thereto, or the Company or any Subsidiary fails to perform or observe any other agreement, term or condition contained in any agreement under which any such obligation is created (or if any other event thereunder or under any such agreement shall occur and be continuing) and the effect of such failure or other event is to cause, or to permit the holder or holders of such obligation (or a trustee on behalf of such holder or holders) to cause, such obligation to become due (or to be repurchased by the Company or any Subsidiary) prior to any stated maturity, PROVIDED that the aggregate amount of all obligations as to which any default shall occur and be continuing or any such a failure or other event permitting acceleration (or resale to such Company or any such Subsidiary) shall occur and be continuing exceeds $500,000; or</w:t>
      </w:r>
    </w:p>
    <w:p>
      <w:pPr>
        <w:spacing w:after="0" w:line="173" w:lineRule="exact"/>
        <w:rPr>
          <w:rFonts w:ascii="Courier New" w:cs="Courier New" w:eastAsia="Courier New" w:hAnsi="Courier New"/>
          <w:sz w:val="14"/>
          <w:szCs w:val="14"/>
          <w:color w:val="auto"/>
        </w:rPr>
      </w:pPr>
    </w:p>
    <w:p>
      <w:pPr>
        <w:ind w:right="3319" w:firstLine="766"/>
        <w:spacing w:after="0" w:line="249" w:lineRule="auto"/>
        <w:tabs>
          <w:tab w:leader="none" w:pos="1196"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by the Company herein or by the Company or any of its officers in any writing furnished in connection with or pursuant to this Agreement shall be false in any material respect on the date as of which made; or</w:t>
      </w:r>
    </w:p>
    <w:p>
      <w:pPr>
        <w:spacing w:after="0" w:line="163" w:lineRule="exact"/>
        <w:rPr>
          <w:rFonts w:ascii="Courier New" w:cs="Courier New" w:eastAsia="Courier New" w:hAnsi="Courier New"/>
          <w:sz w:val="14"/>
          <w:szCs w:val="14"/>
          <w:color w:val="auto"/>
        </w:rPr>
      </w:pPr>
    </w:p>
    <w:p>
      <w:pPr>
        <w:ind w:right="3739" w:firstLine="766"/>
        <w:spacing w:after="0" w:line="251" w:lineRule="auto"/>
        <w:tabs>
          <w:tab w:leader="none" w:pos="1111"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fails to perform or observe any agreement contained in paragraphs 5D or 5J or 6; or</w:t>
      </w:r>
    </w:p>
    <w:p>
      <w:pPr>
        <w:spacing w:after="0" w:line="161" w:lineRule="exact"/>
        <w:rPr>
          <w:rFonts w:ascii="Courier New" w:cs="Courier New" w:eastAsia="Courier New" w:hAnsi="Courier New"/>
          <w:sz w:val="14"/>
          <w:szCs w:val="14"/>
          <w:color w:val="auto"/>
        </w:rPr>
      </w:pPr>
    </w:p>
    <w:p>
      <w:pPr>
        <w:ind w:right="3579" w:firstLine="766"/>
        <w:spacing w:after="0" w:line="250" w:lineRule="auto"/>
        <w:tabs>
          <w:tab w:leader="none" w:pos="1196"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fails to perform or observe any other agreement, term or condition contained herein and such failure shall not be remedied within 30 days after the occurrence thereof; or</w:t>
      </w:r>
    </w:p>
    <w:p>
      <w:pPr>
        <w:spacing w:after="0" w:line="161" w:lineRule="exact"/>
        <w:rPr>
          <w:rFonts w:ascii="Courier New" w:cs="Courier New" w:eastAsia="Courier New" w:hAnsi="Courier New"/>
          <w:sz w:val="14"/>
          <w:szCs w:val="14"/>
          <w:color w:val="auto"/>
        </w:rPr>
      </w:pPr>
    </w:p>
    <w:p>
      <w:pPr>
        <w:ind w:right="3479" w:firstLine="766"/>
        <w:spacing w:after="0" w:line="250" w:lineRule="auto"/>
        <w:tabs>
          <w:tab w:leader="none" w:pos="128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Subsidiary makes an assignment for the benefit of creditors or is generally not paying its debts as such debts become due; or</w:t>
      </w:r>
    </w:p>
    <w:p>
      <w:pPr>
        <w:spacing w:after="0" w:line="161" w:lineRule="exact"/>
        <w:rPr>
          <w:rFonts w:ascii="Courier New" w:cs="Courier New" w:eastAsia="Courier New" w:hAnsi="Courier New"/>
          <w:sz w:val="14"/>
          <w:szCs w:val="14"/>
          <w:color w:val="auto"/>
        </w:rPr>
      </w:pPr>
    </w:p>
    <w:p>
      <w:pPr>
        <w:ind w:right="3579" w:firstLine="766"/>
        <w:spacing w:after="0" w:line="249" w:lineRule="auto"/>
        <w:tabs>
          <w:tab w:leader="none" w:pos="136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decree or order for relief in respect of the Company or any Subsidiary is entered under any bankruptcy, reorganization, compromise, arrangement, insolvency, readjustment of debt, dissolution or liquidation or similar law, whether now or hereafter in effect (herein called the "BANKRUPTCY LAW"), of any jurisdiction; or</w:t>
      </w:r>
    </w:p>
    <w:p>
      <w:pPr>
        <w:spacing w:after="0" w:line="163" w:lineRule="exact"/>
        <w:rPr>
          <w:rFonts w:ascii="Courier New" w:cs="Courier New" w:eastAsia="Courier New" w:hAnsi="Courier New"/>
          <w:sz w:val="14"/>
          <w:szCs w:val="14"/>
          <w:color w:val="auto"/>
        </w:rPr>
      </w:pPr>
    </w:p>
    <w:p>
      <w:pPr>
        <w:ind w:right="3319" w:firstLine="766"/>
        <w:spacing w:after="0" w:line="249" w:lineRule="auto"/>
        <w:tabs>
          <w:tab w:leader="none" w:pos="1196"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Subsidiary petitions or applies to any tribunal for, or consents to, the appointment of, or taking possession by, a trustee, receiver, custodian, liquidator or similar official of the Company or any Subsidiary, or of any substantial part of the assets of the Company or any Subsidiary, or commences a voluntary case under the Bankruptcy Law of the United States or any proceedings (other than proceedings for the voluntary liquidation and dissolution of a Subsidiary) relating to the Company or any Subsidiary under the Bankruptcy Law of any other jurisdiction; or</w:t>
      </w:r>
    </w:p>
    <w:p>
      <w:pPr>
        <w:sectPr>
          <w:pgSz w:w="11900" w:h="16838" w:orient="portrait"/>
          <w:cols w:equalWidth="0" w:num="1">
            <w:col w:w="9379"/>
          </w:cols>
          <w:pgMar w:left="1080" w:top="448" w:right="1440" w:bottom="1440" w:gutter="0" w:footer="0" w:header="0"/>
        </w:sectPr>
      </w:pPr>
    </w:p>
    <w:bookmarkStart w:id="100" w:name="page101"/>
    <w:bookmarkEnd w:id="100"/>
    <w:p>
      <w:pPr>
        <w:jc w:val="right"/>
        <w:ind w:right="3319"/>
        <w:spacing w:after="0"/>
        <w:rPr>
          <w:sz w:val="20"/>
          <w:szCs w:val="20"/>
          <w:color w:val="auto"/>
        </w:rPr>
      </w:pPr>
      <w:r>
        <w:rPr>
          <w:rFonts w:ascii="Courier New" w:cs="Courier New" w:eastAsia="Courier New" w:hAnsi="Courier New"/>
          <w:sz w:val="14"/>
          <w:szCs w:val="14"/>
          <w:color w:val="auto"/>
        </w:rPr>
        <w:t>25</w:t>
      </w:r>
    </w:p>
    <w:p>
      <w:pPr>
        <w:spacing w:after="0" w:line="334" w:lineRule="exact"/>
        <w:rPr>
          <w:sz w:val="20"/>
          <w:szCs w:val="20"/>
          <w:color w:val="auto"/>
        </w:rPr>
      </w:pPr>
    </w:p>
    <w:p>
      <w:pPr>
        <w:ind w:left="780" w:right="3319" w:firstLine="766"/>
        <w:spacing w:after="0" w:line="249" w:lineRule="auto"/>
        <w:tabs>
          <w:tab w:leader="none" w:pos="189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petition or application is filed, or any such proceedings are commenced, against the Company or any Subsidiary and the Company or such Subsidiary by any act indicates its approval thereof, consent thereto or acquiescence therein, or an order, judgment or decree is entered appointing any such trustee, receiver, custodian, liquidator or similar official, or approving the petition in any such proceedings, and such order, judgment or decree remains unstayed and in effect for more than 60 days; or</w:t>
      </w:r>
    </w:p>
    <w:p>
      <w:pPr>
        <w:spacing w:after="0" w:line="162" w:lineRule="exact"/>
        <w:rPr>
          <w:rFonts w:ascii="Courier New" w:cs="Courier New" w:eastAsia="Courier New" w:hAnsi="Courier New"/>
          <w:sz w:val="14"/>
          <w:szCs w:val="14"/>
          <w:color w:val="auto"/>
        </w:rPr>
      </w:pPr>
    </w:p>
    <w:p>
      <w:pPr>
        <w:ind w:left="780" w:right="3739" w:firstLine="766"/>
        <w:spacing w:after="0" w:line="249" w:lineRule="auto"/>
        <w:tabs>
          <w:tab w:leader="none" w:pos="1976"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order, judgment or decree is entered in any proceedings against the Company decreeing the dissolution of the Company and such order, judgment or decree remains unstayed and in effect for more than 60 days; or</w:t>
      </w:r>
    </w:p>
    <w:p>
      <w:pPr>
        <w:spacing w:after="0" w:line="163" w:lineRule="exact"/>
        <w:rPr>
          <w:rFonts w:ascii="Courier New" w:cs="Courier New" w:eastAsia="Courier New" w:hAnsi="Courier New"/>
          <w:sz w:val="14"/>
          <w:szCs w:val="14"/>
          <w:color w:val="auto"/>
        </w:rPr>
      </w:pPr>
    </w:p>
    <w:p>
      <w:pPr>
        <w:ind w:left="780" w:right="3319" w:firstLine="766"/>
        <w:spacing w:after="0" w:line="248" w:lineRule="auto"/>
        <w:tabs>
          <w:tab w:leader="none" w:pos="2062"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order, judgment or decree is entered in any proceedings against the Company or any Subsidiary decreeing a split-up of the Company or such Subsidiary which requires the divestiture of assets representing a substantial part, or the divestiture of the stock of a Subsidiary whose assets represent a substantial part, of the consolidated assets of the Company and its Subsidiaries (determined in accordance with generally accepted accounting principles) or which requires the divestiture of assets, or stock of a Subsidiary, which shall have contributed a substantial part of the consolidated net income of the Company and its Subsidiaries (determined in accordance with generally accepted accounting principles) for any of the three fiscal years then most recently ended, and such order, judgment or decree remains unstayed and in effect for more than 60 days; or</w:t>
      </w:r>
    </w:p>
    <w:p>
      <w:pPr>
        <w:spacing w:after="0" w:line="170" w:lineRule="exact"/>
        <w:rPr>
          <w:rFonts w:ascii="Courier New" w:cs="Courier New" w:eastAsia="Courier New" w:hAnsi="Courier New"/>
          <w:sz w:val="14"/>
          <w:szCs w:val="14"/>
          <w:color w:val="auto"/>
        </w:rPr>
      </w:pPr>
    </w:p>
    <w:p>
      <w:pPr>
        <w:ind w:left="780" w:right="3399" w:firstLine="766"/>
        <w:spacing w:after="0" w:line="249" w:lineRule="auto"/>
        <w:tabs>
          <w:tab w:leader="none" w:pos="214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or more final judgments in an aggregate amount in excess of $1,000,000 is rendered against the Company or any Subsidiary and, within 60 days after entry thereof, any such judgment is not discharged or execution thereof stayed pending appeal, or within 60 days after the expiration of any such stay, such judgment is not discharged; or</w:t>
      </w:r>
    </w:p>
    <w:p>
      <w:pPr>
        <w:spacing w:after="0" w:line="163" w:lineRule="exact"/>
        <w:rPr>
          <w:rFonts w:ascii="Courier New" w:cs="Courier New" w:eastAsia="Courier New" w:hAnsi="Courier New"/>
          <w:sz w:val="14"/>
          <w:szCs w:val="14"/>
          <w:color w:val="auto"/>
        </w:rPr>
      </w:pPr>
    </w:p>
    <w:p>
      <w:pPr>
        <w:ind w:left="780" w:right="3399" w:firstLine="766"/>
        <w:spacing w:after="0" w:line="249" w:lineRule="auto"/>
        <w:tabs>
          <w:tab w:leader="none" w:pos="2062"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ERISA Affiliate, in its capacity as an employer under a Multiemployer Plan, makes a complete or partial withdrawal from such Multiemployer Plan resulting in the incurrence by such withdrawing employer of a withdrawal liability in an amount exceeding $1,000,000; or</w:t>
      </w:r>
    </w:p>
    <w:p>
      <w:pPr>
        <w:spacing w:after="0" w:line="163" w:lineRule="exact"/>
        <w:rPr>
          <w:rFonts w:ascii="Courier New" w:cs="Courier New" w:eastAsia="Courier New" w:hAnsi="Courier New"/>
          <w:sz w:val="14"/>
          <w:szCs w:val="14"/>
          <w:color w:val="auto"/>
        </w:rPr>
      </w:pPr>
    </w:p>
    <w:p>
      <w:pPr>
        <w:ind w:left="780" w:right="3479" w:firstLine="766"/>
        <w:spacing w:after="0" w:line="249" w:lineRule="auto"/>
        <w:tabs>
          <w:tab w:leader="none" w:pos="1976"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Guarantor or any other Person shall disavow or attempt to terminate any or all of the Guaranty Agreements or any or all of the Guaranty Agreements shall cease to be in full force and effect in whole or in part for any reason whatsoever; or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w:t>
      </w:r>
    </w:p>
    <w:p>
      <w:pPr>
        <w:spacing w:after="0" w:line="170" w:lineRule="exact"/>
        <w:rPr>
          <w:sz w:val="20"/>
          <w:szCs w:val="20"/>
          <w:color w:val="auto"/>
        </w:rPr>
      </w:pPr>
    </w:p>
    <w:p>
      <w:pPr>
        <w:ind w:left="1880" w:hanging="334"/>
        <w:spacing w:after="0"/>
        <w:tabs>
          <w:tab w:leader="none" w:pos="188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event is an Event of Default specified in clause</w:t>
      </w:r>
    </w:p>
    <w:p>
      <w:pPr>
        <w:spacing w:after="0" w:line="5" w:lineRule="exact"/>
        <w:rPr>
          <w:rFonts w:ascii="Courier New" w:cs="Courier New" w:eastAsia="Courier New" w:hAnsi="Courier New"/>
          <w:sz w:val="14"/>
          <w:szCs w:val="14"/>
          <w:color w:val="auto"/>
        </w:rPr>
      </w:pPr>
    </w:p>
    <w:p>
      <w:pPr>
        <w:ind w:left="780" w:right="3319" w:hanging="3"/>
        <w:spacing w:after="0" w:line="249" w:lineRule="auto"/>
        <w:tabs>
          <w:tab w:leader="none" w:pos="112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(ii) of this paragraph 7A, any holder (other than the Company or any of its Subsidiaries) of any Note may at its option during the continuance of such Event of Default, by notice in writing to the Company, terminate the Facility and/or declare all of the Notes held by such holder to be, and all of the Notes held by such holder shall thereupon be and become, immediately</w:t>
      </w:r>
    </w:p>
    <w:p>
      <w:pPr>
        <w:sectPr>
          <w:pgSz w:w="11900" w:h="16838" w:orient="portrait"/>
          <w:cols w:equalWidth="0" w:num="1">
            <w:col w:w="10159"/>
          </w:cols>
          <w:pgMar w:left="300" w:top="448" w:right="1440" w:bottom="1440" w:gutter="0" w:footer="0" w:header="0"/>
        </w:sectPr>
      </w:pPr>
    </w:p>
    <w:bookmarkStart w:id="101" w:name="page102"/>
    <w:bookmarkEnd w:id="101"/>
    <w:p>
      <w:pPr>
        <w:jc w:val="right"/>
        <w:ind w:right="3319"/>
        <w:spacing w:after="0"/>
        <w:rPr>
          <w:sz w:val="20"/>
          <w:szCs w:val="20"/>
          <w:color w:val="auto"/>
        </w:rPr>
      </w:pPr>
      <w:r>
        <w:rPr>
          <w:rFonts w:ascii="Courier New" w:cs="Courier New" w:eastAsia="Courier New" w:hAnsi="Courier New"/>
          <w:sz w:val="14"/>
          <w:szCs w:val="14"/>
          <w:color w:val="auto"/>
        </w:rPr>
        <w:t>26</w:t>
      </w:r>
    </w:p>
    <w:p>
      <w:pPr>
        <w:spacing w:after="0" w:line="334" w:lineRule="exact"/>
        <w:rPr>
          <w:sz w:val="20"/>
          <w:szCs w:val="20"/>
          <w:color w:val="auto"/>
        </w:rPr>
      </w:pPr>
    </w:p>
    <w:p>
      <w:pPr>
        <w:ind w:left="780" w:right="3399"/>
        <w:spacing w:after="0" w:line="250" w:lineRule="auto"/>
        <w:rPr>
          <w:sz w:val="20"/>
          <w:szCs w:val="20"/>
          <w:color w:val="auto"/>
        </w:rPr>
      </w:pPr>
      <w:r>
        <w:rPr>
          <w:rFonts w:ascii="Courier New" w:cs="Courier New" w:eastAsia="Courier New" w:hAnsi="Courier New"/>
          <w:sz w:val="14"/>
          <w:szCs w:val="14"/>
          <w:color w:val="auto"/>
        </w:rPr>
        <w:t>due and payable at par together with interest accrued thereon, without presentment, demand, protest or notice of any kind, all of which are hereby waived by the Company,</w:t>
      </w:r>
    </w:p>
    <w:p>
      <w:pPr>
        <w:spacing w:after="0" w:line="162" w:lineRule="exact"/>
        <w:rPr>
          <w:sz w:val="20"/>
          <w:szCs w:val="20"/>
          <w:color w:val="auto"/>
        </w:rPr>
      </w:pPr>
    </w:p>
    <w:p>
      <w:pPr>
        <w:ind w:left="780" w:right="3319" w:firstLine="766"/>
        <w:spacing w:after="0" w:line="249" w:lineRule="auto"/>
        <w:tabs>
          <w:tab w:leader="none" w:pos="189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event is an Event of Default specified in clause (viii), (ix) or (x) of this paragraph 7A with respect to the Company, the Facility shall automatically terminate and all of the Notes at the time outstanding shall automatically become immediately due and payable together with interest accrued thereon and together with the Yield-Maintenance Amount, if any, with respect to each Note, without presentment, demand, protest or notice of any kind, all of which are hereby waived by the Company, and</w:t>
      </w:r>
    </w:p>
    <w:p>
      <w:pPr>
        <w:spacing w:after="0" w:line="162"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event constituting an Event of Default, the Required Holder(s) of the Notes of any Series may at its or their option during the continuance of such Event of Default, by notice in writing to the Company, terminate the Facility and/or declare all of the Notes of such Series to be, and all of the Notes of such Series shall thereupon be and become, immediately due and payable together with interest accrued thereon and together with the Yield-Maintenance Amount, if any, with respect to each Note of such Series, without presentment, demand, protest or notice of any kind, all of which are hereby waived by the Company.</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7B. RESCISSION OF ACCELERATION. At any time after any or all of the Notes of any Series shall have been declared immediately due and payable pursuant to paragraph 7A, the Required Holder(s) of the Notes of such Series may, by notice in writing to the Company, rescind and annul such declaration and its consequences if:</w:t>
      </w:r>
    </w:p>
    <w:p>
      <w:pPr>
        <w:spacing w:after="0" w:line="163" w:lineRule="exact"/>
        <w:rPr>
          <w:sz w:val="20"/>
          <w:szCs w:val="20"/>
          <w:color w:val="auto"/>
        </w:rPr>
      </w:pPr>
    </w:p>
    <w:p>
      <w:pPr>
        <w:ind w:left="780" w:right="3319" w:firstLine="766"/>
        <w:spacing w:after="0" w:line="249" w:lineRule="auto"/>
        <w:tabs>
          <w:tab w:leader="none" w:pos="1891"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paid all overdue interest on the Notes of such Series, the principal of and Yield-Maintenance Amount, if any, payable with respect to any Notes of such Series which have become due otherwise than by reason of such declaration, and interest on such overdue interest and overdue principal and Yield-Maintenance Amount at the rate specified in the Notes of such Series,</w:t>
      </w:r>
    </w:p>
    <w:p>
      <w:pPr>
        <w:spacing w:after="0" w:line="163" w:lineRule="exact"/>
        <w:rPr>
          <w:rFonts w:ascii="Courier New" w:cs="Courier New" w:eastAsia="Courier New" w:hAnsi="Courier New"/>
          <w:sz w:val="14"/>
          <w:szCs w:val="14"/>
          <w:color w:val="auto"/>
        </w:rPr>
      </w:pPr>
    </w:p>
    <w:p>
      <w:pPr>
        <w:ind w:left="780" w:right="3579" w:firstLine="766"/>
        <w:spacing w:after="0" w:line="251" w:lineRule="auto"/>
        <w:tabs>
          <w:tab w:leader="none" w:pos="1976"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have paid any amounts which have become due solely by reason of such declaration,</w:t>
      </w:r>
    </w:p>
    <w:p>
      <w:pPr>
        <w:spacing w:after="0" w:line="161" w:lineRule="exact"/>
        <w:rPr>
          <w:rFonts w:ascii="Courier New" w:cs="Courier New" w:eastAsia="Courier New" w:hAnsi="Courier New"/>
          <w:sz w:val="14"/>
          <w:szCs w:val="14"/>
          <w:color w:val="auto"/>
        </w:rPr>
      </w:pPr>
    </w:p>
    <w:p>
      <w:pPr>
        <w:ind w:left="2060" w:hanging="514"/>
        <w:spacing w:after="0"/>
        <w:tabs>
          <w:tab w:leader="none" w:pos="206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Events of Default and Defaults, other than</w:t>
      </w:r>
    </w:p>
    <w:p>
      <w:pPr>
        <w:spacing w:after="0" w:line="6" w:lineRule="exact"/>
        <w:rPr>
          <w:sz w:val="20"/>
          <w:szCs w:val="20"/>
          <w:color w:val="auto"/>
        </w:rPr>
      </w:pPr>
    </w:p>
    <w:p>
      <w:pPr>
        <w:ind w:left="780" w:right="3319"/>
        <w:spacing w:after="0" w:line="250" w:lineRule="auto"/>
        <w:rPr>
          <w:sz w:val="20"/>
          <w:szCs w:val="20"/>
          <w:color w:val="auto"/>
        </w:rPr>
      </w:pPr>
      <w:r>
        <w:rPr>
          <w:rFonts w:ascii="Courier New" w:cs="Courier New" w:eastAsia="Courier New" w:hAnsi="Courier New"/>
          <w:sz w:val="14"/>
          <w:szCs w:val="14"/>
          <w:color w:val="auto"/>
        </w:rPr>
        <w:t>non-payment of amounts which have become due solely by reason of such declaration, shall have been cured or waived pursuant to paragraph 11C, and</w:t>
      </w:r>
    </w:p>
    <w:p>
      <w:pPr>
        <w:spacing w:after="0" w:line="162" w:lineRule="exact"/>
        <w:rPr>
          <w:sz w:val="20"/>
          <w:szCs w:val="20"/>
          <w:color w:val="auto"/>
        </w:rPr>
      </w:pPr>
    </w:p>
    <w:p>
      <w:pPr>
        <w:ind w:left="780" w:right="3319" w:firstLine="766"/>
        <w:spacing w:after="0" w:line="250" w:lineRule="auto"/>
        <w:tabs>
          <w:tab w:leader="none" w:pos="1976"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judgment or decree shall have been entered for the payment of any amounts due pursuant to the Notes of such Series or this Agreement.</w:t>
      </w:r>
    </w:p>
    <w:p>
      <w:pPr>
        <w:spacing w:after="0" w:line="162" w:lineRule="exact"/>
        <w:rPr>
          <w:sz w:val="20"/>
          <w:szCs w:val="20"/>
          <w:color w:val="auto"/>
        </w:rPr>
      </w:pPr>
    </w:p>
    <w:p>
      <w:pPr>
        <w:ind w:right="3479"/>
        <w:spacing w:after="0" w:line="251" w:lineRule="auto"/>
        <w:rPr>
          <w:sz w:val="20"/>
          <w:szCs w:val="20"/>
          <w:color w:val="auto"/>
        </w:rPr>
      </w:pPr>
      <w:r>
        <w:rPr>
          <w:rFonts w:ascii="Courier New" w:cs="Courier New" w:eastAsia="Courier New" w:hAnsi="Courier New"/>
          <w:sz w:val="14"/>
          <w:szCs w:val="14"/>
          <w:color w:val="auto"/>
        </w:rPr>
        <w:t>No such rescission or annulment shall extend to or affect any subsequent Event of Default or Default or impair any right arising therefrom.</w:t>
      </w:r>
    </w:p>
    <w:p>
      <w:pPr>
        <w:spacing w:after="0" w:line="161"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7C. NOTICE OF ACCELERATION OR RESCISSION. Whenever any Note shall be declared immediately due and payable pursuant to paragraph 7A or any such declaration shall be rescinded and annulled pursuant to paragraph 7B, the Company shall forthwith give written notice thereof to the holder of each Note of each Series at the time outstanding.</w:t>
      </w:r>
    </w:p>
    <w:p>
      <w:pPr>
        <w:sectPr>
          <w:pgSz w:w="11900" w:h="16838" w:orient="portrait"/>
          <w:cols w:equalWidth="0" w:num="1">
            <w:col w:w="10159"/>
          </w:cols>
          <w:pgMar w:left="300" w:top="448" w:right="1440" w:bottom="1440" w:gutter="0" w:footer="0" w:header="0"/>
        </w:sectPr>
      </w:pPr>
    </w:p>
    <w:bookmarkStart w:id="102" w:name="page103"/>
    <w:bookmarkEnd w:id="102"/>
    <w:p>
      <w:pPr>
        <w:jc w:val="right"/>
        <w:ind w:right="3319"/>
        <w:spacing w:after="0"/>
        <w:rPr>
          <w:sz w:val="20"/>
          <w:szCs w:val="20"/>
          <w:color w:val="auto"/>
        </w:rPr>
      </w:pPr>
      <w:r>
        <w:rPr>
          <w:rFonts w:ascii="Courier New" w:cs="Courier New" w:eastAsia="Courier New" w:hAnsi="Courier New"/>
          <w:sz w:val="14"/>
          <w:szCs w:val="14"/>
          <w:color w:val="auto"/>
        </w:rPr>
        <w:t>27</w:t>
      </w:r>
    </w:p>
    <w:p>
      <w:pPr>
        <w:spacing w:after="0" w:line="334"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7D. OTHER REMEDIES. If any Event of Default or Default shall occur and be continuing, the holder of any Note may proceed to protect and enforce its rights under this Agreement and such Note by exercising such remedies as are available to such holder in respect thereof under applicable law, either by suit in equity or by action at law, or both, whether for specific performance of any covenant or other agreement contained in this Agreement or in aid of the exercise of any power granted in this Agreement. No remedy conferred in this Agreement upon the holder of any Note is intended to be exclusive of any other remedy, and each and every such remedy shall be cumulative and shall be in addition to every other remedy conferred herein or now or hereafter existing at law or in equity or by statute or otherwise.</w:t>
      </w:r>
    </w:p>
    <w:p>
      <w:pPr>
        <w:spacing w:after="0" w:line="169" w:lineRule="exact"/>
        <w:rPr>
          <w:sz w:val="20"/>
          <w:szCs w:val="20"/>
          <w:color w:val="auto"/>
        </w:rPr>
      </w:pPr>
    </w:p>
    <w:p>
      <w:pPr>
        <w:ind w:right="3319" w:firstLine="777"/>
        <w:spacing w:after="0" w:line="249" w:lineRule="auto"/>
        <w:tabs>
          <w:tab w:leader="none" w:pos="102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COVENANTS AND WARRANTIES. The Company represents, covenants and warrants as follows (all references to "SUBSIDIARY" and "SUBSIDIARIES" in this paragraph 8 shall be deemed omitted if the Company has no Subsidiaries at the time the representations herein are made or repeated):</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8A. ORGANIZATION.</w:t>
      </w:r>
    </w:p>
    <w:p>
      <w:pPr>
        <w:spacing w:after="0" w:line="170" w:lineRule="exact"/>
        <w:rPr>
          <w:sz w:val="20"/>
          <w:szCs w:val="20"/>
          <w:color w:val="auto"/>
        </w:rPr>
      </w:pPr>
    </w:p>
    <w:p>
      <w:pPr>
        <w:ind w:left="780" w:right="3319" w:firstLine="766"/>
        <w:spacing w:after="0" w:line="248" w:lineRule="auto"/>
        <w:tabs>
          <w:tab w:leader="none" w:pos="189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 corporation duly organized and existing in good standing under the laws of the State of Florida, and each Subsidiary is duly organized and existing in good standing under the laws of the jurisdiction in which it is incorporated. Schedule 8A hereto is an accurate and complete list of all Subsidiaries as of the Initial Closing Day, including the jurisdiction of incorporation and ownership of all such Subsidiaries. The Company and each Subsidiary has the corporate power to own its respective properties and to carry on its respective businesses as now being conducted and is duly qualified and authorized to do business in each other jurisdiction in which the character of its respective properties or the nature of its respective businesses require such qualification or authorization except where the failure to be so qualified or authorized could not reasonably be expected to have a material adverse effect on the business, operations or financial condition of the Company and its Subsidiaries, taken as a whole.</w:t>
      </w:r>
    </w:p>
    <w:p>
      <w:pPr>
        <w:spacing w:after="0" w:line="171"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Subsidiary is a party to, or otherwise subject to, any legal restriction or any agreement restricting the ability of such Subsidiary to pay dividends out of profits or make other similar distributions of profits to the Company or any of its Subsidiaries that owns outstanding shares of Capital Stock or similar equity interests of such Subsidiary.</w:t>
      </w:r>
    </w:p>
    <w:p>
      <w:pPr>
        <w:spacing w:after="0" w:line="163" w:lineRule="exact"/>
        <w:rPr>
          <w:sz w:val="20"/>
          <w:szCs w:val="20"/>
          <w:color w:val="auto"/>
        </w:rPr>
      </w:pPr>
    </w:p>
    <w:p>
      <w:pPr>
        <w:ind w:right="3479" w:firstLine="769"/>
        <w:spacing w:after="0" w:line="250" w:lineRule="auto"/>
        <w:rPr>
          <w:sz w:val="20"/>
          <w:szCs w:val="20"/>
          <w:color w:val="auto"/>
        </w:rPr>
      </w:pPr>
      <w:r>
        <w:rPr>
          <w:rFonts w:ascii="Courier New" w:cs="Courier New" w:eastAsia="Courier New" w:hAnsi="Courier New"/>
          <w:sz w:val="14"/>
          <w:szCs w:val="14"/>
          <w:color w:val="auto"/>
        </w:rPr>
        <w:t>8B. FINANCIAL STATEMENTS. The Company has furnished you with the following financial statements, identified by a principal financial officer of the Company:</w:t>
      </w:r>
    </w:p>
    <w:p>
      <w:pPr>
        <w:spacing w:after="0" w:line="162" w:lineRule="exact"/>
        <w:rPr>
          <w:sz w:val="20"/>
          <w:szCs w:val="20"/>
          <w:color w:val="auto"/>
        </w:rPr>
      </w:pPr>
    </w:p>
    <w:p>
      <w:pPr>
        <w:ind w:left="780" w:right="3479" w:firstLine="766"/>
        <w:spacing w:after="0" w:line="249" w:lineRule="auto"/>
        <w:tabs>
          <w:tab w:leader="none" w:pos="1891"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balance sheet as at the last day of the fiscal year in each of the years 1997 to 1998, inclusive, a Consolidated statement of income, stockholders' equity and cash flows for each such year, all reported on by Arthur Anderson LLC; and</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balance sheet as at September 30, 1999 and Consolidated statements of income, stockholders' equity and cash flows for the nine-month period ended on each such date, prepared by the Company.</w:t>
      </w:r>
    </w:p>
    <w:p>
      <w:pPr>
        <w:sectPr>
          <w:pgSz w:w="11900" w:h="16838" w:orient="portrait"/>
          <w:cols w:equalWidth="0" w:num="1">
            <w:col w:w="10159"/>
          </w:cols>
          <w:pgMar w:left="300" w:top="448" w:right="1440" w:bottom="1440" w:gutter="0" w:footer="0" w:header="0"/>
        </w:sectPr>
      </w:pPr>
    </w:p>
    <w:bookmarkStart w:id="103" w:name="page104"/>
    <w:bookmarkEnd w:id="103"/>
    <w:p>
      <w:pPr>
        <w:jc w:val="right"/>
        <w:ind w:right="3319"/>
        <w:spacing w:after="0"/>
        <w:rPr>
          <w:sz w:val="20"/>
          <w:szCs w:val="20"/>
          <w:color w:val="auto"/>
        </w:rPr>
      </w:pPr>
      <w:r>
        <w:rPr>
          <w:rFonts w:ascii="Courier New" w:cs="Courier New" w:eastAsia="Courier New" w:hAnsi="Courier New"/>
          <w:sz w:val="14"/>
          <w:szCs w:val="14"/>
          <w:color w:val="auto"/>
        </w:rPr>
        <w:t>28</w:t>
      </w:r>
    </w:p>
    <w:p>
      <w:pPr>
        <w:spacing w:after="0" w:line="334"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Those financial statements (including any related schedules and/or notes) fairly present in all material respects (subject, as to interim statements, to the absence of footnotes or to changes resulting from normal year-end adjustments) the financial condition of the Company and have been prepared in accordance with generally accepted accounting principles consistently applied throughout the periods involved and show all liabilities, direct and contingent, of the Company and its Subsidiaries required to be shown in accordance with such principles. The balance sheets fairly present, in all material respects, the Consolidated financial condition of the Company and its Subsidiaries as at the dates thereof, and the statements of income, stockholders' equity and cash flows fairly present, in all material respects, the Consolidated results of the operations of the Company and its Subsidiaries, the changes in the Company's stockholders' equity and their Consolidated cash flows for the periods indicated. There has been no material adverse change in the business, condition (financial or otherwise) or operations of the Company and its Subsidiaries taken as a whole since December 31, 1998.</w:t>
      </w:r>
    </w:p>
    <w:p>
      <w:pPr>
        <w:spacing w:after="0" w:line="171"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8C. ACTIONS PENDING. Except as set forth on Schedule 8C hereto, there is no action, suit, investigation or proceeding pending or, to the knowledge of the Company, threatened against the Company or any of its Subsidiaries, or any properties or rights of the Company or any of its Subsidiaries, by or before any court, arbitrator or administrative or governmental body which could reasonably be expected to result in any material adverse change in the business, property or assets, condition (financial or otherwise) or operations of the Company and its Subsidiaries taken as a whole.</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8D. OUTSTANDING DEBT. Neither the Company nor any of its Subsidiaries has outstanding any Debt except as permitted by paragraphs 6A and 6B(2). There exists no default under the provisions of any instrument evidencing such Debt or of any agreement relating thereto. Schedule 8D hereto (as such Schedule 8D may have been modified from time to time by written supplements thereto delivered by the Company to Prudential) is an accurate and complete list of Debt of the Company and its Subsidiaries on the applicable Closing Day.</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8E. TITLE TO PROPERTIES. The Company has and each of its Subsidiaries has good and indefeasible title to its respective real properties (other than properties which it leases) and good title to all of its other respective properties and assets, including the properties and assets reflected in the most recent audited balance sheet referred to in paragraph 8B (other than properties and assets disposed of in the ordinary course of business), subject to no Lien of any kind except Liens permitted by paragraph 6B(1). All leases necessary in any material respect for the conduct of the respective businesses of the Company and its Subsidiaries are valid and subsisting and are in full force and effect.</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8F. TAXES. The Company has filed and each of its Subsidiaries has filed all federal, state and other income tax returns which, to the best knowledge of the Chief Financial Officer of the Company and its Subsidiaries, are required to be filed, and each has paid all taxes as shown on such returns and on all assessments received by it to the extent that such taxes have become due, except such taxes as are being contested in good faith by appropriate proceedings for which adequate reserves have been established in accordance with generally accepted accounting principles.</w:t>
      </w:r>
    </w:p>
    <w:p>
      <w:pPr>
        <w:sectPr>
          <w:pgSz w:w="11900" w:h="16838" w:orient="portrait"/>
          <w:cols w:equalWidth="0" w:num="1">
            <w:col w:w="10159"/>
          </w:cols>
          <w:pgMar w:left="300" w:top="448" w:right="1440" w:bottom="1440" w:gutter="0" w:footer="0" w:header="0"/>
        </w:sectPr>
      </w:pPr>
    </w:p>
    <w:bookmarkStart w:id="104" w:name="page105"/>
    <w:bookmarkEnd w:id="104"/>
    <w:p>
      <w:pPr>
        <w:jc w:val="right"/>
        <w:ind w:right="3319"/>
        <w:spacing w:after="0"/>
        <w:rPr>
          <w:sz w:val="20"/>
          <w:szCs w:val="20"/>
          <w:color w:val="auto"/>
        </w:rPr>
      </w:pPr>
      <w:r>
        <w:rPr>
          <w:rFonts w:ascii="Courier New" w:cs="Courier New" w:eastAsia="Courier New" w:hAnsi="Courier New"/>
          <w:sz w:val="14"/>
          <w:szCs w:val="14"/>
          <w:color w:val="auto"/>
        </w:rPr>
        <w:t>29</w:t>
      </w:r>
    </w:p>
    <w:p>
      <w:pPr>
        <w:spacing w:after="0" w:line="334"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8G. CONFLICTING AGREEMENTS AND OTHER MATTERS. Neither the Company nor any of its Subsidiaries is a party to any contract or agreement or subject to any charter or other corporate restriction which materially and adversely affects its business, property or assets, condition (financial or otherwise) or operations. Neither the execution nor delivery of this Agreement or the Notes, nor the offering, issuance and sale of the Notes, nor fulfillment of nor compliance with the terms and provisions hereof and of the Notes will conflict with, or result in a breach of the terms, conditions or provisions of, or constitute a default under, or result in any violation of, or result in the creation of any Lien upon any of the properties or assets of the Company or any of its Subsidiaries pursuant to, the charter or by-laws of the Company or any of its Subsidiaries, any award of any arbitrator or any agreement (including any agreement with stockholders), instrument, order, judgment, decree, statute, law, rule or regulation to which the Company or any of its Subsidiaries is subject. Neither the Company nor any of its Subsidiaries is a party to, or otherwise subject to any provision contained in, any instrument evidencing Debt of the Company or such Subsidiary, any agreement relating thereto or any other contract or agreement (including its charter) which limits the amount of, or otherwise imposes restrictions on the incurring of, Debt of the Company or such Subsidiary of the type to be evidenced by the Notes except as set forth in the agreements listed in Schedule 8G hereto.</w:t>
      </w:r>
    </w:p>
    <w:p>
      <w:pPr>
        <w:spacing w:after="0" w:line="174"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8H. OFFERING OF NOTES. Neither the Company nor any agent acting on its behalf has, directly or indirectly, offered the Notes or any similar security of the Company for sale to, or solicited any offers to buy the Notes or any similar security of the Company from, or otherwise approached or negotiated with respect thereto with, any Person other than institutional investors, and neither the Company nor any agent acting on its behalf has taken or will take any action which would subject the issuance or sale of the Notes to the provisions of Section 5 of the Securities Act or to the provisions of any securities or Blue Sky law of any applicable jurisdiction. The Company hereby represents and warrants to you that, within the preceding twelve months, neither the Company nor any other Person acting on behalf of the Company has offered or sold to any Person (other than accredited investors) any Notes, or any securities of the same or a similar class as the Notes, or any other substantially similar securities of the Company.</w:t>
      </w:r>
    </w:p>
    <w:p>
      <w:pPr>
        <w:spacing w:after="0" w:line="170"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8I. USE OF PROCEEDS. None of the proceeds of the sale of any Notes will be used, directly or indirectly, for the purpose, whether immediate, incidental or ultimate, of purchasing or carrying any "margin stock" as defined in Regulation U or X (12 C.F.R. Parts 221 and 224) of the Board of Governors of the Federal Reserve System (herein called "margin stock") or for the purpose of maintaining, reducing or retiring any Debt which was originally incurred to purchase or carry any stock that is then currently a margin stock or for any other purpose which might constitute the purchase of such Notes a "purpose credit" within the meaning of such Regulation U, unless the Company shall have delivered to the Purchaser which is purchasing such Notes, on the Closing Day for such Notes, an opinion of counsel satisfactory to such Purchaser stating that the purchase of such Notes does not constitute a violation of such Regulation U. Neither the Company nor any agent acting on its behalf has taken or will take any action which might cause this Agreement or the Notes to violate Regulation U, Regulation T or any other regulation of the Board of Governors of the Federal Reserve System or to violate the Exchange Act, in each case as in effect now or as the same may hereafter be in effect. None of the proceeds of the sale of the Notes has been or will be used to finance a Hostile Tender Offer.</w:t>
      </w:r>
    </w:p>
    <w:p>
      <w:pPr>
        <w:sectPr>
          <w:pgSz w:w="11900" w:h="16838" w:orient="portrait"/>
          <w:cols w:equalWidth="0" w:num="1">
            <w:col w:w="10159"/>
          </w:cols>
          <w:pgMar w:left="300" w:top="448" w:right="1440" w:bottom="1440" w:gutter="0" w:footer="0" w:header="0"/>
        </w:sectPr>
      </w:pPr>
    </w:p>
    <w:bookmarkStart w:id="105" w:name="page106"/>
    <w:bookmarkEnd w:id="105"/>
    <w:p>
      <w:pPr>
        <w:jc w:val="right"/>
        <w:ind w:right="3319"/>
        <w:spacing w:after="0"/>
        <w:rPr>
          <w:sz w:val="20"/>
          <w:szCs w:val="20"/>
          <w:color w:val="auto"/>
        </w:rPr>
      </w:pPr>
      <w:r>
        <w:rPr>
          <w:rFonts w:ascii="Courier New" w:cs="Courier New" w:eastAsia="Courier New" w:hAnsi="Courier New"/>
          <w:sz w:val="14"/>
          <w:szCs w:val="14"/>
          <w:color w:val="auto"/>
        </w:rPr>
        <w:t>30</w:t>
      </w:r>
    </w:p>
    <w:p>
      <w:pPr>
        <w:spacing w:after="0" w:line="334"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8J. ERISA. No accumulated funding deficiency (as defined in section 302 of ERISA and section 412 of the Code), whether or not waived, exists with respect to any Plan (other than a Multiemployer Plan). No liability to the Pension Benefit Guaranty Corporation has been or is expected by the Company or any ERISA Affiliate to be incurred with respect to any Plan (other than a Multiemployer Plan) by the Company, any Subsidiary or any ERISA Affiliate which is or would be materially adverse to the business, property or assets, condition (financial or otherwise) or operations of the Company and its Subsidiaries taken as a whole. Neither the Company, any Subsidiary nor any ERISA Affiliate has incurred or presently expects to incur any withdrawal liability under Title IV of ERISA with respect to any Multiemployer Plan which is or would be materially adverse to the business, property or assets, condition (financial or otherwise) or operations of the Company and its Subsidiaries taken as a whole. The execution and delivery of this Agreement and the issuance and sale of the Notes will be exempt from or will not involve any transaction which is subject to the prohibitions of section 406 of ERISA and will not involve any transaction in connection with which a penalty could be imposed under section 502(i) of ERISA or a tax could be imposed pursuant to section 4975 of the Code. The representation by the Company in the next preceding sentence is made in reliance upon and subject to the accuracy of the representation of each Purchaser in paragraph 9B as to the source of funds to be used by it to purchase any Notes.</w:t>
      </w:r>
    </w:p>
    <w:p>
      <w:pPr>
        <w:spacing w:after="0" w:line="174"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8K. GOVERNMENTAL CONSENT. Neither the nature of the Company or of any Subsidiary, nor any of their respective businesses or properties, nor any relationship between the Company or any Subsidiary and any other Person, nor any circumstance in connection with the offering, issuance, sale or delivery of the Notes is such as to require any authorization, consent, approval, exemption or any action by or notice to or filing with any court or administrative or governmental body (other than routine filings after the Closing Day for any Notes with the Securities and Exchange Commission and/or state Blue Sky authorities) in connection with the execution and delivery of this Agreement, the offering, issuance, sale or delivery of the Notes or fulfillment of or compliance with the terms and provisions hereof or of the Notes.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8L. ENVIRONMENTAL COMPLIANCE.</w:t>
      </w:r>
    </w:p>
    <w:p>
      <w:pPr>
        <w:spacing w:after="0" w:line="170" w:lineRule="exact"/>
        <w:rPr>
          <w:sz w:val="20"/>
          <w:szCs w:val="20"/>
          <w:color w:val="auto"/>
        </w:rPr>
      </w:pPr>
    </w:p>
    <w:p>
      <w:pPr>
        <w:ind w:left="780" w:right="3319" w:firstLine="766"/>
        <w:spacing w:after="0" w:line="249" w:lineRule="auto"/>
        <w:tabs>
          <w:tab w:leader="none" w:pos="189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and all of their respective Properties have complied at all times (during such period of time the Company or its Subsidiaries have owned or operated each such Property) and in all respects with all Environmental Requirements where failure to comply could reasonably be expected to have a material adverse effect on the business, condition (financial or otherwise) or operations of the Company and its Subsidiaries taken as a whole.</w:t>
      </w:r>
    </w:p>
    <w:p>
      <w:pPr>
        <w:spacing w:after="0" w:line="162" w:lineRule="exact"/>
        <w:rPr>
          <w:rFonts w:ascii="Courier New" w:cs="Courier New" w:eastAsia="Courier New" w:hAnsi="Courier New"/>
          <w:sz w:val="14"/>
          <w:szCs w:val="14"/>
          <w:color w:val="auto"/>
        </w:rPr>
      </w:pPr>
    </w:p>
    <w:p>
      <w:pPr>
        <w:ind w:left="780" w:right="3399" w:firstLine="766"/>
        <w:spacing w:after="0" w:line="249" w:lineRule="auto"/>
        <w:tabs>
          <w:tab w:leader="none" w:pos="1976"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8L, neither the Company nor any Subsidiary is subject to any Environmental Liability or Environmental Requirement which could reasonably be expected to have a material adverse effect on the business, condition (financial or otherwise) or operations of the Company and its Subsidiaries, taken as a whole.</w:t>
      </w:r>
    </w:p>
    <w:p>
      <w:pPr>
        <w:spacing w:after="0" w:line="163" w:lineRule="exact"/>
        <w:rPr>
          <w:rFonts w:ascii="Courier New" w:cs="Courier New" w:eastAsia="Courier New" w:hAnsi="Courier New"/>
          <w:sz w:val="14"/>
          <w:szCs w:val="14"/>
          <w:color w:val="auto"/>
        </w:rPr>
      </w:pPr>
    </w:p>
    <w:p>
      <w:pPr>
        <w:ind w:left="780" w:right="3399" w:firstLine="766"/>
        <w:spacing w:after="0" w:line="249" w:lineRule="auto"/>
        <w:tabs>
          <w:tab w:leader="none" w:pos="206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8L, neither the Company nor any Subsidiary has been designated as a potentially responsible party under CERCLA or under any state statute similar to CERCLA. None of the Properties has been identified on</w:t>
      </w:r>
    </w:p>
    <w:p>
      <w:pPr>
        <w:sectPr>
          <w:pgSz w:w="11900" w:h="16838" w:orient="portrait"/>
          <w:cols w:equalWidth="0" w:num="1">
            <w:col w:w="10159"/>
          </w:cols>
          <w:pgMar w:left="300" w:top="448" w:right="1440" w:bottom="1440" w:gutter="0" w:footer="0" w:header="0"/>
        </w:sectPr>
      </w:pPr>
    </w:p>
    <w:bookmarkStart w:id="106" w:name="page107"/>
    <w:bookmarkEnd w:id="106"/>
    <w:p>
      <w:pPr>
        <w:jc w:val="right"/>
        <w:ind w:right="3319"/>
        <w:spacing w:after="0"/>
        <w:rPr>
          <w:sz w:val="20"/>
          <w:szCs w:val="20"/>
          <w:color w:val="auto"/>
        </w:rPr>
      </w:pPr>
      <w:r>
        <w:rPr>
          <w:rFonts w:ascii="Courier New" w:cs="Courier New" w:eastAsia="Courier New" w:hAnsi="Courier New"/>
          <w:sz w:val="14"/>
          <w:szCs w:val="14"/>
          <w:color w:val="auto"/>
        </w:rPr>
        <w:t>31</w:t>
      </w:r>
    </w:p>
    <w:p>
      <w:pPr>
        <w:spacing w:after="0" w:line="334" w:lineRule="exact"/>
        <w:rPr>
          <w:sz w:val="20"/>
          <w:szCs w:val="20"/>
          <w:color w:val="auto"/>
        </w:rPr>
      </w:pPr>
    </w:p>
    <w:p>
      <w:pPr>
        <w:ind w:left="780" w:right="3319"/>
        <w:spacing w:after="0" w:line="250" w:lineRule="auto"/>
        <w:rPr>
          <w:sz w:val="20"/>
          <w:szCs w:val="20"/>
          <w:color w:val="auto"/>
        </w:rPr>
      </w:pPr>
      <w:r>
        <w:rPr>
          <w:rFonts w:ascii="Courier New" w:cs="Courier New" w:eastAsia="Courier New" w:hAnsi="Courier New"/>
          <w:sz w:val="14"/>
          <w:szCs w:val="14"/>
          <w:color w:val="auto"/>
        </w:rPr>
        <w:t>any current or proposed National Priorities List under 40 C.F.R. ss. 300 or any list arising from a state statute similar to CERCLA. None of the Properties has been identified on any CERCLIS list.</w:t>
      </w:r>
    </w:p>
    <w:p>
      <w:pPr>
        <w:spacing w:after="0" w:line="162" w:lineRule="exact"/>
        <w:rPr>
          <w:sz w:val="20"/>
          <w:szCs w:val="20"/>
          <w:color w:val="auto"/>
        </w:rPr>
      </w:pPr>
    </w:p>
    <w:p>
      <w:pPr>
        <w:ind w:left="780" w:right="3319" w:firstLine="766"/>
        <w:spacing w:after="0" w:line="248" w:lineRule="auto"/>
        <w:tabs>
          <w:tab w:leader="none" w:pos="197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Hazardous Materials have been or are being used, produced, manufactured, processed, generated, stored, disposed of, released, managed at or shipped or transported to or from the Properties (during such period of time the Company or its Subsidiaries have owned or operated each such Property) or, to the actual knowledge of the Company, are otherwise present at, on, in or under the Properties or, to the actual knowledge of the Company, at or from any adjacent site or facility, except for Hazardous Materials used, produced, manufactured, processed, generated, stored, disposed of, released and managed in the ordinary course of the Company's and any Subsidiary's business in compliance with all applicable Environmental Requirements and except for Hazardous Materials present in amounts which have not required and do not require remediation, pursuant to applicable law or regulation, or if remediation is required, such remediation could not reasonably be expected to have a material adverse effect on the business, condition (financial or otherwise) or operations of the Company and its Subsidiaries, taken as a whole.</w:t>
      </w:r>
    </w:p>
    <w:p>
      <w:pPr>
        <w:spacing w:after="0" w:line="171"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Subsidiary have procured all permits necessary under Environmental Requirements for the conduct of their respective businesses or is otherwise in compliance with all applicable Environmental Requirements, except to the extent the failure to do so would not reasonably expected to have a material adverse effect on the business, condition (financial or otherwise) or operations of the Company and its Subsidiaries, taken as a whole.</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8M. DISCLOSURE. Neither this Agreement nor any other document, certificate or statement furnished to any Purchaser by or on behalf of the Company in connection herewith contains any untrue statement of a material fact or omits to state a material fact necessary in order to make the statements contained herein and therein not misleading. There is no fact peculiar to the Company or any of its Subsidiaries which materially adversely affects or in the future may (so far as the Company can now reasonably foresee) materially adversely affect the business, property or assets, condition (financial or otherwise) or operations of the Company or any of its Subsidiaries and which has not been set forth in this Agreement.</w:t>
      </w:r>
    </w:p>
    <w:p>
      <w:pPr>
        <w:spacing w:after="0" w:line="162" w:lineRule="exact"/>
        <w:rPr>
          <w:sz w:val="20"/>
          <w:szCs w:val="20"/>
          <w:color w:val="auto"/>
        </w:rPr>
      </w:pPr>
    </w:p>
    <w:p>
      <w:pPr>
        <w:jc w:val="both"/>
        <w:ind w:left="780" w:right="6219" w:hanging="3"/>
        <w:spacing w:after="0" w:line="497" w:lineRule="auto"/>
        <w:tabs>
          <w:tab w:leader="none" w:pos="1036"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OF THE PURCHASERS. Each Purchaser represents as follows:</w:t>
      </w:r>
    </w:p>
    <w:p>
      <w:pPr>
        <w:ind w:right="3319" w:firstLine="769"/>
        <w:spacing w:after="0" w:line="249" w:lineRule="auto"/>
        <w:rPr>
          <w:sz w:val="20"/>
          <w:szCs w:val="20"/>
          <w:color w:val="auto"/>
        </w:rPr>
      </w:pPr>
      <w:r>
        <w:rPr>
          <w:rFonts w:ascii="Courier New" w:cs="Courier New" w:eastAsia="Courier New" w:hAnsi="Courier New"/>
          <w:sz w:val="14"/>
          <w:szCs w:val="14"/>
          <w:color w:val="auto"/>
        </w:rPr>
        <w:t>9A. NATURE OF PURCHASE. Such Purchaser will acquire any Shelf Notes purchased from the Company pursuant to this Agreement for investment for its own account, not as a nominee or agent, and not with a view to, or for resale in connection with, any distribution thereof within the meaning of the Securities Act, PROVIDED that the disposition of such Purchaser's property shall at all times be and remain within its control.</w:t>
      </w:r>
    </w:p>
    <w:p>
      <w:pPr>
        <w:sectPr>
          <w:pgSz w:w="11900" w:h="16838" w:orient="portrait"/>
          <w:cols w:equalWidth="0" w:num="1">
            <w:col w:w="10159"/>
          </w:cols>
          <w:pgMar w:left="300" w:top="448" w:right="1440" w:bottom="1440" w:gutter="0" w:footer="0" w:header="0"/>
        </w:sectPr>
      </w:pPr>
    </w:p>
    <w:bookmarkStart w:id="107" w:name="page108"/>
    <w:bookmarkEnd w:id="107"/>
    <w:p>
      <w:pPr>
        <w:jc w:val="right"/>
        <w:ind w:right="3319"/>
        <w:spacing w:after="0"/>
        <w:rPr>
          <w:sz w:val="20"/>
          <w:szCs w:val="20"/>
          <w:color w:val="auto"/>
        </w:rPr>
      </w:pPr>
      <w:r>
        <w:rPr>
          <w:rFonts w:ascii="Courier New" w:cs="Courier New" w:eastAsia="Courier New" w:hAnsi="Courier New"/>
          <w:sz w:val="14"/>
          <w:szCs w:val="14"/>
          <w:color w:val="auto"/>
        </w:rPr>
        <w:t>32</w:t>
      </w:r>
    </w:p>
    <w:p>
      <w:pPr>
        <w:spacing w:after="0" w:line="334"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9B. SOURCE OF FUNDS. You represent that at least one of the following statements is an accurate representation as to each source of funds (a "SOURCE") to be used by you to pay the purchase price of the Notes to be purchased by you hereunder:</w:t>
      </w:r>
    </w:p>
    <w:p>
      <w:pPr>
        <w:spacing w:after="0" w:line="163" w:lineRule="exact"/>
        <w:rPr>
          <w:sz w:val="20"/>
          <w:szCs w:val="20"/>
          <w:color w:val="auto"/>
        </w:rPr>
      </w:pPr>
    </w:p>
    <w:p>
      <w:pPr>
        <w:ind w:left="780" w:right="3319" w:firstLine="766"/>
        <w:spacing w:after="0" w:line="249" w:lineRule="auto"/>
        <w:tabs>
          <w:tab w:leader="none" w:pos="189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constitutes assets allocated to your "insurance company general account" (as such term is defined under Section V of the United States Department of Labor's Prohibited Transaction Exemption ("PTE") 95-60), and as of the date of the purchase of the Notes, you satisfy all of the applicable requirements for relief under Sections I and IV of PTE 95-60; or</w:t>
      </w:r>
    </w:p>
    <w:p>
      <w:pPr>
        <w:spacing w:after="0" w:line="163" w:lineRule="exact"/>
        <w:rPr>
          <w:rFonts w:ascii="Courier New" w:cs="Courier New" w:eastAsia="Courier New" w:hAnsi="Courier New"/>
          <w:sz w:val="14"/>
          <w:szCs w:val="14"/>
          <w:color w:val="auto"/>
        </w:rPr>
      </w:pPr>
    </w:p>
    <w:p>
      <w:pPr>
        <w:ind w:left="780" w:right="3399" w:firstLine="766"/>
        <w:spacing w:after="0" w:line="249" w:lineRule="auto"/>
        <w:tabs>
          <w:tab w:leader="none" w:pos="189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are an insurance company, the Source does not include assets allocated to any separate account maintained by you in which any employee benefit plan (or its related trust) has any interest, other than a separate account that is maintained solely in connection with your fixed contractual obligations under which the amounts payable, or credited, to such plan and to any participant or beneficiary of such plan (including any annuitant) are not affected in any manner by the investment performance of the separate account; or</w:t>
      </w:r>
    </w:p>
    <w:p>
      <w:pPr>
        <w:spacing w:after="0" w:line="162" w:lineRule="exact"/>
        <w:rPr>
          <w:rFonts w:ascii="Courier New" w:cs="Courier New" w:eastAsia="Courier New" w:hAnsi="Courier New"/>
          <w:sz w:val="14"/>
          <w:szCs w:val="14"/>
          <w:color w:val="auto"/>
        </w:rPr>
      </w:pPr>
    </w:p>
    <w:p>
      <w:pPr>
        <w:jc w:val="both"/>
        <w:ind w:left="780" w:right="3819" w:firstLine="766"/>
        <w:spacing w:after="0" w:line="248" w:lineRule="auto"/>
        <w:tabs>
          <w:tab w:leader="none" w:pos="189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either (i) an insurance company pooled separate account, within the meaning PTE 90-1 (issued January 29,</w:t>
      </w:r>
    </w:p>
    <w:p>
      <w:pPr>
        <w:ind w:left="780" w:right="3319"/>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1990), or (ii) a bank collective investment fund, within the meaning of the PTE 91-38 (issued July 12, 1991) and, except as you have disclosed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162" w:lineRule="exact"/>
        <w:rPr>
          <w:rFonts w:ascii="Courier New" w:cs="Courier New" w:eastAsia="Courier New" w:hAnsi="Courier New"/>
          <w:sz w:val="14"/>
          <w:szCs w:val="14"/>
          <w:color w:val="auto"/>
        </w:rPr>
      </w:pPr>
    </w:p>
    <w:p>
      <w:pPr>
        <w:ind w:left="780" w:right="3319" w:firstLine="766"/>
        <w:spacing w:after="0" w:line="248" w:lineRule="auto"/>
        <w:tabs>
          <w:tab w:leader="none" w:pos="189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constitutes asset of an "investment fund" (within the meaning of Part V of the QPAM Exemption) managed by a "qualified professional asset manager" or "QPAM" (within the meaning of Part V of the QPAM Exemption), no employee benefit plan's assets that are included in such investment fund, when combined with the assets of all other employee benefit plans established or maintained by the same employer or by an affiliate (within the meaning of Section V(c)(1) of the QPAM Exemption) of such employer or by the same employee organization and managed by such QPAM, exceed 20% of the total client assets managed by such QPAM, the conditions of Part I(c) and (g) of the QPAM Exemption are satisfied, neither the QPAM nor a person controlling or controlled by the QPAM (applying the definition of "control" in Section V(e) of the QPAM Exemption) owns a 5% or more interest in the company and (i) the identity of such QPAM and (ii) the names of all employee benefit plans whose assets are included in such investment fund have been disclosed to the Company in writing pursuant to clause (c); or</w:t>
      </w:r>
    </w:p>
    <w:p>
      <w:pPr>
        <w:spacing w:after="0" w:line="335" w:lineRule="exact"/>
        <w:rPr>
          <w:rFonts w:ascii="Courier New" w:cs="Courier New" w:eastAsia="Courier New" w:hAnsi="Courier New"/>
          <w:sz w:val="14"/>
          <w:szCs w:val="14"/>
          <w:color w:val="auto"/>
        </w:rPr>
      </w:pPr>
    </w:p>
    <w:p>
      <w:pPr>
        <w:ind w:left="1880" w:hanging="334"/>
        <w:spacing w:after="0"/>
        <w:tabs>
          <w:tab w:leader="none" w:pos="18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a governmental plan; or</w:t>
      </w:r>
    </w:p>
    <w:p>
      <w:pPr>
        <w:spacing w:after="0" w:line="170" w:lineRule="exact"/>
        <w:rPr>
          <w:rFonts w:ascii="Courier New" w:cs="Courier New" w:eastAsia="Courier New" w:hAnsi="Courier New"/>
          <w:sz w:val="14"/>
          <w:szCs w:val="14"/>
          <w:color w:val="auto"/>
        </w:rPr>
      </w:pPr>
    </w:p>
    <w:p>
      <w:pPr>
        <w:ind w:left="780" w:right="3659" w:firstLine="766"/>
        <w:spacing w:after="0" w:line="249" w:lineRule="auto"/>
        <w:tabs>
          <w:tab w:leader="none" w:pos="189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one or more employee benefit plans, or a separate account or trust fund comprised of one or more employee benefit plans, each of which has been identified to the Company in writing pursuant to this clause (f); or</w:t>
      </w:r>
    </w:p>
    <w:p>
      <w:pPr>
        <w:sectPr>
          <w:pgSz w:w="11900" w:h="16838" w:orient="portrait"/>
          <w:cols w:equalWidth="0" w:num="1">
            <w:col w:w="10159"/>
          </w:cols>
          <w:pgMar w:left="300" w:top="448" w:right="1440" w:bottom="1440" w:gutter="0" w:footer="0" w:header="0"/>
        </w:sectPr>
      </w:pPr>
    </w:p>
    <w:bookmarkStart w:id="108" w:name="page109"/>
    <w:bookmarkEnd w:id="108"/>
    <w:p>
      <w:pPr>
        <w:jc w:val="right"/>
        <w:ind w:right="3319"/>
        <w:spacing w:after="0"/>
        <w:rPr>
          <w:sz w:val="20"/>
          <w:szCs w:val="20"/>
          <w:color w:val="auto"/>
        </w:rPr>
      </w:pPr>
      <w:r>
        <w:rPr>
          <w:rFonts w:ascii="Courier New" w:cs="Courier New" w:eastAsia="Courier New" w:hAnsi="Courier New"/>
          <w:sz w:val="14"/>
          <w:szCs w:val="14"/>
          <w:color w:val="auto"/>
        </w:rPr>
        <w:t>33</w:t>
      </w:r>
    </w:p>
    <w:p>
      <w:pPr>
        <w:spacing w:after="0" w:line="334" w:lineRule="exact"/>
        <w:rPr>
          <w:sz w:val="20"/>
          <w:szCs w:val="20"/>
          <w:color w:val="auto"/>
        </w:rPr>
      </w:pPr>
    </w:p>
    <w:p>
      <w:pPr>
        <w:ind w:left="780" w:right="3319" w:firstLine="766"/>
        <w:spacing w:after="0" w:line="251" w:lineRule="auto"/>
        <w:tabs>
          <w:tab w:leader="none" w:pos="1891"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does not include assets of any employee benefit plan, other than a plan exempt from the coverage of ERISA.</w:t>
      </w:r>
    </w:p>
    <w:p>
      <w:pPr>
        <w:spacing w:after="0" w:line="161" w:lineRule="exact"/>
        <w:rPr>
          <w:sz w:val="20"/>
          <w:szCs w:val="20"/>
          <w:color w:val="auto"/>
        </w:rPr>
      </w:pPr>
    </w:p>
    <w:p>
      <w:pPr>
        <w:ind w:right="3479"/>
        <w:spacing w:after="0" w:line="250" w:lineRule="auto"/>
        <w:rPr>
          <w:sz w:val="20"/>
          <w:szCs w:val="20"/>
          <w:color w:val="auto"/>
        </w:rPr>
      </w:pPr>
      <w:r>
        <w:rPr>
          <w:rFonts w:ascii="Courier New" w:cs="Courier New" w:eastAsia="Courier New" w:hAnsi="Courier New"/>
          <w:sz w:val="14"/>
          <w:szCs w:val="14"/>
          <w:color w:val="auto"/>
        </w:rPr>
        <w:t>As used in this paragraph 9B, the terms "EMPLOYEE BENEFIT PLAN", "GOVERNMENTAL PLAN", "PARTY IN INTEREST" and "SEPARATE ACCOUNT" shall have the respective meanings assigned to such terms in Section 3 of ERISA.</w:t>
      </w:r>
    </w:p>
    <w:p>
      <w:pPr>
        <w:spacing w:after="0" w:line="162" w:lineRule="exact"/>
        <w:rPr>
          <w:sz w:val="20"/>
          <w:szCs w:val="20"/>
          <w:color w:val="auto"/>
        </w:rPr>
      </w:pPr>
    </w:p>
    <w:p>
      <w:pPr>
        <w:ind w:right="3319" w:firstLine="777"/>
        <w:spacing w:after="0" w:line="249" w:lineRule="auto"/>
        <w:tabs>
          <w:tab w:leader="none" w:pos="1111"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ACCOUNTING MATTERS. For the purpose of this Agreement, the terms defined in paragraphs 10A and 10B (or within the text of any other paragraph) shall have the respective meanings specified therein and all accounting matters shall be subject to determination as provided in paragraph 10C.</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10A. YIELD-MAINTENANCE TERMS.</w:t>
      </w:r>
    </w:p>
    <w:p>
      <w:pPr>
        <w:spacing w:after="0" w:line="170" w:lineRule="exact"/>
        <w:rPr>
          <w:sz w:val="20"/>
          <w:szCs w:val="20"/>
          <w:color w:val="auto"/>
        </w:rPr>
      </w:pPr>
    </w:p>
    <w:p>
      <w:pPr>
        <w:jc w:val="both"/>
        <w:ind w:right="3319" w:firstLine="769"/>
        <w:spacing w:after="0" w:line="250" w:lineRule="auto"/>
        <w:rPr>
          <w:sz w:val="20"/>
          <w:szCs w:val="20"/>
          <w:color w:val="auto"/>
        </w:rPr>
      </w:pPr>
      <w:r>
        <w:rPr>
          <w:rFonts w:ascii="Courier New" w:cs="Courier New" w:eastAsia="Courier New" w:hAnsi="Courier New"/>
          <w:sz w:val="14"/>
          <w:szCs w:val="14"/>
          <w:color w:val="auto"/>
        </w:rPr>
        <w:t>"CALLED PRINCIPAL" shall mean, with respect to any Note, the principal of such Note that is to be prepaid pursuant to paragraph 4B or is declared to be immediately due and payable pursuant to paragraph 7A, as the context requires.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"DESIGNATED SPREAD" shall mean .50 of 1%.</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"DISCOUNTED VALUE" shall mean,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(as converted to reflect the periodic basis on which interest on such Note is payable, if payable other than on a semi-annual basis) equal to the Reinvestment Yield with respect to such Called Principal.</w:t>
      </w:r>
    </w:p>
    <w:p>
      <w:pPr>
        <w:spacing w:after="0" w:line="163"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"REINVESTMENT YIELD" shall mean, with respect to the Called Principal of any Note, the Designated Spread over the yield to maturity implied by (i) the yields reported, as of 10:00 A.M. (New York City local time) on the Business Day next preceding the Settlement Date with respect to such Called Principal, on the display designated as "Page 678" on the Telerate Service (or such other display as may replace page 678 on the Telerate Service) for actively traded U.S. Treasury securities having a maturity equal to the Remaining Average Life of such Called Principal as of such Settlement Date, or (ii) if such yields shall not be reported as of such time or the yields reported as of such time shall not be ascertainable, the Treasury Constant Maturity Series yields reported, for the latest day for which such yields shall have been so reported as of the Business Day next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shall be determined, if necessary, by (a) converting U.S. Treasury bill quotations to bond-equivalent yields in accordance with accepted financial practice and (b) interpolating linearly between yields reported for various maturities.</w:t>
      </w:r>
    </w:p>
    <w:p>
      <w:pPr>
        <w:spacing w:after="0" w:line="173"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"REMAINING AVERAGE LIFE" shall mean, with respect to the Called Principal of any Note, the number of years (calculated to the nearest one-twelfth year) obtained by dividing (i) such Called Principal into (ii) the sum of the products obtained by multiplying (a) each Remaining</w:t>
      </w:r>
    </w:p>
    <w:p>
      <w:pPr>
        <w:sectPr>
          <w:pgSz w:w="11900" w:h="16838" w:orient="portrait"/>
          <w:cols w:equalWidth="0" w:num="1">
            <w:col w:w="10159"/>
          </w:cols>
          <w:pgMar w:left="300" w:top="448" w:right="1440" w:bottom="1440" w:gutter="0" w:footer="0" w:header="0"/>
        </w:sectPr>
      </w:pPr>
    </w:p>
    <w:bookmarkStart w:id="109" w:name="page110"/>
    <w:bookmarkEnd w:id="109"/>
    <w:p>
      <w:pPr>
        <w:jc w:val="right"/>
        <w:ind w:right="3319"/>
        <w:spacing w:after="0"/>
        <w:rPr>
          <w:sz w:val="20"/>
          <w:szCs w:val="20"/>
          <w:color w:val="auto"/>
        </w:rPr>
      </w:pPr>
      <w:r>
        <w:rPr>
          <w:rFonts w:ascii="Courier New" w:cs="Courier New" w:eastAsia="Courier New" w:hAnsi="Courier New"/>
          <w:sz w:val="14"/>
          <w:szCs w:val="14"/>
          <w:color w:val="auto"/>
        </w:rPr>
        <w:t>34</w:t>
      </w:r>
    </w:p>
    <w:p>
      <w:pPr>
        <w:spacing w:after="0" w:line="334"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Scheduled Payment of such Called Principal (but not of interest thereon) by (b) the number of years (calculated to the nearest one-twelfth year) which will elapse between the Settlement Date with respect to such Called Principal and the scheduled due date of such Remaining Scheduled Payment.</w:t>
      </w:r>
    </w:p>
    <w:p>
      <w:pPr>
        <w:spacing w:after="0" w:line="163"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"REMAINING SCHEDULED PAYMENTS" shall mean, with respect to the Called Principal of any Note, all payments of such Called Principal and interest thereon that would be due on or after the Settlement Date with respect to such Called Principal if no payment of such Called Principal were made prior to its scheduled due date.</w:t>
      </w:r>
    </w:p>
    <w:p>
      <w:pPr>
        <w:spacing w:after="0" w:line="163"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"SETTLEMENT DATE" shall mean, with respect to the Called Principal of any Note, the date on which such Called Principal is to be prepaid pursuant to paragraph 4 or is declared to be immediately due and payable pursuant to paragraph 7A, as the context requires.</w:t>
      </w:r>
    </w:p>
    <w:p>
      <w:pPr>
        <w:spacing w:after="0" w:line="163"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"YIELD-MAINTENANCE AMOUNT" shall mean, with respect to any Note, an amount equal to the excess, if any, of the Discounted Value of the Called Principal of such Note over the sum of (i) such Called Principal plus (ii) interest accrued thereon as of (including interest due on) the Settlement Date with respect to such Called Principal. The Yield-Maintenance Amount shall in no event be less than zero.</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10B. OTHER TERMS.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"ACCEPTANCE" shall have the meaning specified in paragraph 2F.</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"ACCEPTANCE DAY" shall have the meaning specified in paragraph 2F.</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"ACCEPTANCE WINDOW" shall have the meaning specified in paragraph 2F.</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"ACCEPTED NOTE" shall have the meaning specified in paragraph 2F.</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"ACQUISITION" shall mean the acquisition of (i) a controlling equity interest in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(ii) assets of another Person which constitute all or substantially all of the assets of such Person or of a line or lines of business conducted by such Person.</w:t>
      </w:r>
    </w:p>
    <w:p>
      <w:pPr>
        <w:spacing w:after="0" w:line="163"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"AFFILIATE" shall mean any Person (i) which directly or indirectly through one or more intermediaries controls, or is controlled by, or is under common control with the Company; or (ii) which beneficially owns or holds 10% or more of the aggregate voting rights for all of Company's classes or outstanding Voting Stock (or in the case of a Person which is not a corporation, 10% or more of the aggregate voting rights of such Person) of the Company, or 10% or more of any class of the outstanding voting stock (or in the case of a Person which is not a corporation, 10% or more of the aggregate voting rights of such Person) of which is beneficially owned or held by the Company. The term "control" means the possession, directly or indirectly, of the power to direct or cause the direction of the management and policies of a Person, whether through ownership of voting stock, by contract or otherwise.</w:t>
      </w:r>
    </w:p>
    <w:p>
      <w:pPr>
        <w:sectPr>
          <w:pgSz w:w="11900" w:h="16838" w:orient="portrait"/>
          <w:cols w:equalWidth="0" w:num="1">
            <w:col w:w="10159"/>
          </w:cols>
          <w:pgMar w:left="300" w:top="448" w:right="1440" w:bottom="1440" w:gutter="0" w:footer="0" w:header="0"/>
        </w:sectPr>
      </w:pPr>
    </w:p>
    <w:bookmarkStart w:id="110" w:name="page111"/>
    <w:bookmarkEnd w:id="110"/>
    <w:p>
      <w:pPr>
        <w:jc w:val="right"/>
        <w:ind w:right="3319"/>
        <w:spacing w:after="0"/>
        <w:rPr>
          <w:sz w:val="20"/>
          <w:szCs w:val="20"/>
          <w:color w:val="auto"/>
        </w:rPr>
      </w:pPr>
      <w:r>
        <w:rPr>
          <w:rFonts w:ascii="Courier New" w:cs="Courier New" w:eastAsia="Courier New" w:hAnsi="Courier New"/>
          <w:sz w:val="14"/>
          <w:szCs w:val="14"/>
          <w:color w:val="auto"/>
        </w:rPr>
        <w:t>35</w:t>
      </w:r>
    </w:p>
    <w:p>
      <w:pPr>
        <w:spacing w:after="0" w:line="334"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"AUTHORIZED OFFICER" shall mean (i) in the case of the Company, its chief executive officer, its president and chief operating officer, its chief financial officer, any vice president of the Company designated as an "Authorized Officer" of the Company in the Information Schedule attached hereto or any vice president of the Company designated as an "Authorized Officer" of the Company for the purpose of this Agreement in an Officer's Certificate executed by the Company's chief executive officer or chief financial officer and delivered to Prudential, and (ii) in the case of Prudential, any officer of Prudential designated as its "Authorized Officer" in the Information Schedule or any officer of Prudential designated as its "Authorized Officer" for the purpose of this Agreement in a certificate executed by one of its Authorized Officers. Any action taken under this Agreement on behalf of the Company by any individual who on or after the date of this Agreement shall have been an Authorized Officer of the Company and whom Prudential reasonably in good faith believes to be an Authorized Officer of the Company at the time of such action shall be binding on the Company even though such individual shall have ceased to be an Authorized Officer of the Company, and any action taken under this Agreement on behalf of Prudential by any individual who on or after the date of this Agreement shall have been an Authorized Officer of Prudential and whom the Company reasonably in good faith believes to be an Authorized Officer of Prudential at the time of such action shall be binding on Prudential even though such individual shall have ceased to be an Authorized Officer of Prudential.</w:t>
      </w:r>
    </w:p>
    <w:p>
      <w:pPr>
        <w:spacing w:after="0" w:line="174" w:lineRule="exact"/>
        <w:rPr>
          <w:sz w:val="20"/>
          <w:szCs w:val="20"/>
          <w:color w:val="auto"/>
        </w:rPr>
      </w:pPr>
    </w:p>
    <w:p>
      <w:pPr>
        <w:ind w:right="3999" w:firstLine="769"/>
        <w:spacing w:after="0" w:line="251" w:lineRule="auto"/>
        <w:rPr>
          <w:sz w:val="20"/>
          <w:szCs w:val="20"/>
          <w:color w:val="auto"/>
        </w:rPr>
      </w:pPr>
      <w:r>
        <w:rPr>
          <w:rFonts w:ascii="Courier New" w:cs="Courier New" w:eastAsia="Courier New" w:hAnsi="Courier New"/>
          <w:sz w:val="14"/>
          <w:szCs w:val="14"/>
          <w:color w:val="auto"/>
        </w:rPr>
        <w:t>"AVAILABLE FACILITY AMOUNT" shall have the meaning specified in paragraph 2A.</w:t>
      </w:r>
    </w:p>
    <w:p>
      <w:pPr>
        <w:spacing w:after="0" w:line="161" w:lineRule="exact"/>
        <w:rPr>
          <w:sz w:val="20"/>
          <w:szCs w:val="20"/>
          <w:color w:val="auto"/>
        </w:rPr>
      </w:pPr>
    </w:p>
    <w:p>
      <w:pPr>
        <w:jc w:val="both"/>
        <w:ind w:right="3479" w:firstLine="769"/>
        <w:spacing w:after="0" w:line="249" w:lineRule="auto"/>
        <w:rPr>
          <w:sz w:val="20"/>
          <w:szCs w:val="20"/>
          <w:color w:val="auto"/>
        </w:rPr>
      </w:pPr>
      <w:r>
        <w:rPr>
          <w:rFonts w:ascii="Courier New" w:cs="Courier New" w:eastAsia="Courier New" w:hAnsi="Courier New"/>
          <w:sz w:val="14"/>
          <w:szCs w:val="14"/>
          <w:color w:val="auto"/>
        </w:rPr>
        <w:t>"BANK AGREEMENT" shall mean Amended and Restated Revolving Credit and Reimbursement Agreement dated as of August 8, 1997 among the Company; Bank of America N.A., formerly NationsBank, N.A., as Agent; First Union National Bank and SunTrust Bank, as Co-Agents; and each lender a party thereto, as it may be amended, modified or supplemented from time to time.</w:t>
      </w:r>
    </w:p>
    <w:p>
      <w:pPr>
        <w:spacing w:after="0" w:line="163" w:lineRule="exact"/>
        <w:rPr>
          <w:sz w:val="20"/>
          <w:szCs w:val="20"/>
          <w:color w:val="auto"/>
        </w:rPr>
      </w:pPr>
    </w:p>
    <w:p>
      <w:pPr>
        <w:jc w:val="both"/>
        <w:ind w:right="3479" w:firstLine="769"/>
        <w:spacing w:after="0" w:line="251" w:lineRule="auto"/>
        <w:rPr>
          <w:sz w:val="20"/>
          <w:szCs w:val="20"/>
          <w:color w:val="auto"/>
        </w:rPr>
      </w:pPr>
      <w:r>
        <w:rPr>
          <w:rFonts w:ascii="Courier New" w:cs="Courier New" w:eastAsia="Courier New" w:hAnsi="Courier New"/>
          <w:sz w:val="14"/>
          <w:szCs w:val="14"/>
          <w:color w:val="auto"/>
        </w:rPr>
        <w:t>"BANKRUPTCY LAW" shall have the meaning specified in clause (viii) of paragraph 7A.</w:t>
      </w:r>
    </w:p>
    <w:p>
      <w:pPr>
        <w:spacing w:after="0" w:line="161"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"BUSINESS DAY" shall mean any day other than (i) a Saturday or a Sunday, (ii) a day on which commercial banks in States of New York and Florida are required or authorized to be closed and (iii) for purposes of paragraph 2D hereof only, a day on which Prudential is not open for business.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"CANCELLATION DATE" shall have the meaning specified in paragraph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2I(3).</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"CANCELLATION FEE" shall have the meaning specified in paragraph 2I(3).</w:t>
      </w:r>
    </w:p>
    <w:p>
      <w:pPr>
        <w:spacing w:after="0" w:line="170" w:lineRule="exact"/>
        <w:rPr>
          <w:sz w:val="20"/>
          <w:szCs w:val="20"/>
          <w:color w:val="auto"/>
        </w:rPr>
      </w:pPr>
    </w:p>
    <w:p>
      <w:pPr>
        <w:ind w:right="3479" w:firstLine="769"/>
        <w:spacing w:after="0" w:line="250" w:lineRule="auto"/>
        <w:rPr>
          <w:sz w:val="20"/>
          <w:szCs w:val="20"/>
          <w:color w:val="auto"/>
        </w:rPr>
      </w:pPr>
      <w:r>
        <w:rPr>
          <w:rFonts w:ascii="Courier New" w:cs="Courier New" w:eastAsia="Courier New" w:hAnsi="Courier New"/>
          <w:sz w:val="14"/>
          <w:szCs w:val="14"/>
          <w:color w:val="auto"/>
        </w:rPr>
        <w:t>"CAPITAL STOCK" means, with respect to any Person, the outstanding capital stock (or any options or warrants to purchase capital stock or other securities exchangeable for or convertible into capital stock) of such Person.</w:t>
      </w:r>
    </w:p>
    <w:p>
      <w:pPr>
        <w:spacing w:after="0" w:line="162"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"CAPITALIZED LEASE OBLIGATION" shall mean any rental obligation which, under generally accepted accounting principles, is or will be required to be capitalized on the books of the Company or any Subsidiary, taken at the amount thereof accounted for as indebtedness (net of interest expenses) in accordance with such principles.</w:t>
      </w:r>
    </w:p>
    <w:p>
      <w:pPr>
        <w:sectPr>
          <w:pgSz w:w="11900" w:h="16838" w:orient="portrait"/>
          <w:cols w:equalWidth="0" w:num="1">
            <w:col w:w="10159"/>
          </w:cols>
          <w:pgMar w:left="300" w:top="448" w:right="1440" w:bottom="1440" w:gutter="0" w:footer="0" w:header="0"/>
        </w:sectPr>
      </w:pPr>
    </w:p>
    <w:bookmarkStart w:id="111" w:name="page112"/>
    <w:bookmarkEnd w:id="111"/>
    <w:p>
      <w:pPr>
        <w:jc w:val="right"/>
        <w:ind w:right="3319"/>
        <w:spacing w:after="0"/>
        <w:rPr>
          <w:sz w:val="20"/>
          <w:szCs w:val="20"/>
          <w:color w:val="auto"/>
        </w:rPr>
      </w:pPr>
      <w:r>
        <w:rPr>
          <w:rFonts w:ascii="Courier New" w:cs="Courier New" w:eastAsia="Courier New" w:hAnsi="Courier New"/>
          <w:sz w:val="14"/>
          <w:szCs w:val="14"/>
          <w:color w:val="auto"/>
        </w:rPr>
        <w:t>36</w:t>
      </w:r>
    </w:p>
    <w:p>
      <w:pPr>
        <w:spacing w:after="0" w:line="334" w:lineRule="exact"/>
        <w:rPr>
          <w:sz w:val="20"/>
          <w:szCs w:val="20"/>
          <w:color w:val="auto"/>
        </w:rPr>
      </w:pPr>
    </w:p>
    <w:p>
      <w:pPr>
        <w:ind w:right="4179" w:firstLine="769"/>
        <w:spacing w:after="0" w:line="251" w:lineRule="auto"/>
        <w:rPr>
          <w:sz w:val="20"/>
          <w:szCs w:val="20"/>
          <w:color w:val="auto"/>
        </w:rPr>
      </w:pPr>
      <w:r>
        <w:rPr>
          <w:rFonts w:ascii="Courier New" w:cs="Courier New" w:eastAsia="Courier New" w:hAnsi="Courier New"/>
          <w:sz w:val="14"/>
          <w:szCs w:val="14"/>
          <w:color w:val="auto"/>
        </w:rPr>
        <w:t>"CERCLA" shall mean the Comprehensive Environmental Response, Compensation and Liability Act.</w:t>
      </w:r>
    </w:p>
    <w:p>
      <w:pPr>
        <w:spacing w:after="0" w:line="161" w:lineRule="exact"/>
        <w:rPr>
          <w:sz w:val="20"/>
          <w:szCs w:val="20"/>
          <w:color w:val="auto"/>
        </w:rPr>
      </w:pPr>
    </w:p>
    <w:p>
      <w:pPr>
        <w:ind w:right="3739" w:firstLine="769"/>
        <w:spacing w:after="0" w:line="251" w:lineRule="auto"/>
        <w:rPr>
          <w:sz w:val="20"/>
          <w:szCs w:val="20"/>
          <w:color w:val="auto"/>
        </w:rPr>
      </w:pPr>
      <w:r>
        <w:rPr>
          <w:rFonts w:ascii="Courier New" w:cs="Courier New" w:eastAsia="Courier New" w:hAnsi="Courier New"/>
          <w:sz w:val="14"/>
          <w:szCs w:val="14"/>
          <w:color w:val="auto"/>
        </w:rPr>
        <w:t>"CERCLIS" shall mean the Comprehensive Environmental Response, Compensation and Liability Inventory System established pursuant to CERCLA.</w:t>
      </w:r>
    </w:p>
    <w:p>
      <w:pPr>
        <w:spacing w:after="0" w:line="161"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"CLOSING DAY" shall mean, with respect to any Accepted Note, the Business Day specified for the closing of the purchase and sale of such Accepted Note in the Request for Purchase of such Accepted Note, PROVIDED that (i) if the Company and the Purchaser which is obligated to purchase such Accepted Note agree on an earlier Business Day for such closing, the "Closing Day" for such Accepted Note shall be such earlier Business Day, and (ii) if the closing of the purchase and sale of such Accepted Note is rescheduled pursuant to paragraph 2H, the Closing Day for such Accepted Note, for all purposes of this Agreement except references to "original Closing Day" in paragraph 2I(3), shall mean the Rescheduled Closing Day with respect to such Accepted Note.</w:t>
      </w:r>
    </w:p>
    <w:p>
      <w:pPr>
        <w:spacing w:after="0" w:line="162" w:lineRule="exact"/>
        <w:rPr>
          <w:sz w:val="20"/>
          <w:szCs w:val="20"/>
          <w:color w:val="auto"/>
        </w:rPr>
      </w:pPr>
    </w:p>
    <w:p>
      <w:pPr>
        <w:ind w:right="3399" w:firstLine="769"/>
        <w:spacing w:after="0" w:line="250" w:lineRule="auto"/>
        <w:rPr>
          <w:sz w:val="20"/>
          <w:szCs w:val="20"/>
          <w:color w:val="auto"/>
        </w:rPr>
      </w:pPr>
      <w:r>
        <w:rPr>
          <w:rFonts w:ascii="Courier New" w:cs="Courier New" w:eastAsia="Courier New" w:hAnsi="Courier New"/>
          <w:sz w:val="14"/>
          <w:szCs w:val="14"/>
          <w:color w:val="auto"/>
        </w:rPr>
        <w:t>"CODE" shall mean the Internal Revenue Code of 1986, as amended from time to time, and the rules and regulations promulgated thereunder from time to time.</w:t>
      </w:r>
    </w:p>
    <w:p>
      <w:pPr>
        <w:spacing w:after="0" w:line="162" w:lineRule="exact"/>
        <w:rPr>
          <w:sz w:val="20"/>
          <w:szCs w:val="20"/>
          <w:color w:val="auto"/>
        </w:rPr>
      </w:pPr>
    </w:p>
    <w:p>
      <w:pPr>
        <w:ind w:right="3919" w:firstLine="769"/>
        <w:spacing w:after="0" w:line="251" w:lineRule="auto"/>
        <w:rPr>
          <w:sz w:val="20"/>
          <w:szCs w:val="20"/>
          <w:color w:val="auto"/>
        </w:rPr>
      </w:pPr>
      <w:r>
        <w:rPr>
          <w:rFonts w:ascii="Courier New" w:cs="Courier New" w:eastAsia="Courier New" w:hAnsi="Courier New"/>
          <w:sz w:val="14"/>
          <w:szCs w:val="14"/>
          <w:color w:val="auto"/>
        </w:rPr>
        <w:t>"CONFIRMATION OF ACCEPTANCE" shall have the meaning specified in paragraph 2F.</w:t>
      </w:r>
    </w:p>
    <w:p>
      <w:pPr>
        <w:spacing w:after="0" w:line="161" w:lineRule="exact"/>
        <w:rPr>
          <w:sz w:val="20"/>
          <w:szCs w:val="20"/>
          <w:color w:val="auto"/>
        </w:rPr>
      </w:pPr>
    </w:p>
    <w:p>
      <w:pPr>
        <w:ind w:right="3819" w:firstLine="769"/>
        <w:spacing w:after="0" w:line="249" w:lineRule="auto"/>
        <w:rPr>
          <w:sz w:val="20"/>
          <w:szCs w:val="20"/>
          <w:color w:val="auto"/>
        </w:rPr>
      </w:pPr>
      <w:r>
        <w:rPr>
          <w:rFonts w:ascii="Courier New" w:cs="Courier New" w:eastAsia="Courier New" w:hAnsi="Courier New"/>
          <w:sz w:val="14"/>
          <w:szCs w:val="14"/>
          <w:color w:val="auto"/>
        </w:rPr>
        <w:t>"CONSOLIDATED" shall mean, with respect to any item of financial information, the item of financial information for the Company and its Subsidiaries consolidated in accordance with generally accepted accounting principles.</w:t>
      </w:r>
    </w:p>
    <w:p>
      <w:pPr>
        <w:spacing w:after="0" w:line="163" w:lineRule="exact"/>
        <w:rPr>
          <w:sz w:val="20"/>
          <w:szCs w:val="20"/>
          <w:color w:val="auto"/>
        </w:rPr>
      </w:pPr>
    </w:p>
    <w:p>
      <w:pPr>
        <w:ind w:right="3659" w:firstLine="769"/>
        <w:spacing w:after="0" w:line="249" w:lineRule="auto"/>
        <w:rPr>
          <w:sz w:val="20"/>
          <w:szCs w:val="20"/>
          <w:color w:val="auto"/>
        </w:rPr>
      </w:pPr>
      <w:r>
        <w:rPr>
          <w:rFonts w:ascii="Courier New" w:cs="Courier New" w:eastAsia="Courier New" w:hAnsi="Courier New"/>
          <w:sz w:val="14"/>
          <w:szCs w:val="14"/>
          <w:color w:val="auto"/>
        </w:rPr>
        <w:t>"CONSOLIDATED DEBT" shall mean all Debt for money borrowed of the Company and its Subsidiaries all determined in accordance with generally accepted accounting principles on a consolidated basis after eliminating all inter-company transactions.</w:t>
      </w:r>
    </w:p>
    <w:p>
      <w:pPr>
        <w:spacing w:after="0" w:line="163"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"CONSOLIDATED EBITDA" means, for any period, Consolidated Net Income adjusted by adding thereto the amount of all amortization of intangibles, interest, taxes and depreciation that was deducted in arriving at Consolidated Net Income for such period PROVIDED, HOWEVER, that with respect to any Acquisition that is accounted for as a "purchase", Consolidated EBITDA, beginning with the period during which such Acquisition occurs, shall include the results of operations of the Person or assets so acquired, which amounts shall be determined on a historical pro forma basis as if such Acquisition had been consummated as a "pooling of interests."</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"CONSOLIDATED INTEREST EXPENSE" shall mean, for the Company and its Subsidiaries on a Consolidated basis for the four fiscal quarters most recently ended, all interest expense (as determined in accordance with generally accepted accounting principles) on all Debt (including imputed interest in respect of Capitalized Lease Obligations) net of interest income.</w:t>
      </w:r>
    </w:p>
    <w:p>
      <w:pPr>
        <w:spacing w:after="0" w:line="163" w:lineRule="exact"/>
        <w:rPr>
          <w:sz w:val="20"/>
          <w:szCs w:val="20"/>
          <w:color w:val="auto"/>
        </w:rPr>
      </w:pPr>
    </w:p>
    <w:p>
      <w:pPr>
        <w:ind w:right="3399" w:firstLine="769"/>
        <w:spacing w:after="0" w:line="250" w:lineRule="auto"/>
        <w:rPr>
          <w:sz w:val="20"/>
          <w:szCs w:val="20"/>
          <w:color w:val="auto"/>
        </w:rPr>
      </w:pPr>
      <w:r>
        <w:rPr>
          <w:rFonts w:ascii="Courier New" w:cs="Courier New" w:eastAsia="Courier New" w:hAnsi="Courier New"/>
          <w:sz w:val="14"/>
          <w:szCs w:val="14"/>
          <w:color w:val="auto"/>
        </w:rPr>
        <w:t>"CONSOLIDATED NET INCOME" shall mean any net earnings (or net loss) of the Company and its Subsidiaries determined in accordance with generally accepted accounting principles, on a consolidated basis, excluding;</w:t>
      </w:r>
    </w:p>
    <w:p>
      <w:pPr>
        <w:spacing w:after="0" w:line="162" w:lineRule="exact"/>
        <w:rPr>
          <w:sz w:val="20"/>
          <w:szCs w:val="20"/>
          <w:color w:val="auto"/>
        </w:rPr>
      </w:pPr>
    </w:p>
    <w:p>
      <w:pPr>
        <w:ind w:left="780" w:right="3319" w:firstLine="766"/>
        <w:spacing w:after="0" w:line="251" w:lineRule="auto"/>
        <w:tabs>
          <w:tab w:leader="none" w:pos="189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extraordinary gains (net of any extraordinary losses up to the amount of any extraordinary gains);</w:t>
      </w:r>
    </w:p>
    <w:p>
      <w:pPr>
        <w:sectPr>
          <w:pgSz w:w="11900" w:h="16838" w:orient="portrait"/>
          <w:cols w:equalWidth="0" w:num="1">
            <w:col w:w="10159"/>
          </w:cols>
          <w:pgMar w:left="300" w:top="448" w:right="1440" w:bottom="1440" w:gutter="0" w:footer="0" w:header="0"/>
        </w:sectPr>
      </w:pPr>
    </w:p>
    <w:bookmarkStart w:id="112" w:name="page113"/>
    <w:bookmarkEnd w:id="112"/>
    <w:p>
      <w:pPr>
        <w:jc w:val="right"/>
        <w:ind w:right="3319"/>
        <w:spacing w:after="0"/>
        <w:rPr>
          <w:sz w:val="20"/>
          <w:szCs w:val="20"/>
          <w:color w:val="auto"/>
        </w:rPr>
      </w:pPr>
      <w:r>
        <w:rPr>
          <w:rFonts w:ascii="Courier New" w:cs="Courier New" w:eastAsia="Courier New" w:hAnsi="Courier New"/>
          <w:sz w:val="14"/>
          <w:szCs w:val="14"/>
          <w:color w:val="auto"/>
        </w:rPr>
        <w:t>37</w:t>
      </w:r>
    </w:p>
    <w:p>
      <w:pPr>
        <w:spacing w:after="0" w:line="334" w:lineRule="exact"/>
        <w:rPr>
          <w:sz w:val="20"/>
          <w:szCs w:val="20"/>
          <w:color w:val="auto"/>
        </w:rPr>
      </w:pPr>
    </w:p>
    <w:p>
      <w:pPr>
        <w:ind w:left="780" w:right="3399" w:firstLine="766"/>
        <w:spacing w:after="0" w:line="249" w:lineRule="auto"/>
        <w:tabs>
          <w:tab w:leader="none" w:pos="1976"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of any Person (other than a Subsidiary) in which the Company or a Subsidiary has an ownership interest unless those net earnings have actually been received in the form of cash for distributions;</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2062"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aggregate net gain (in excess of any net losses) arising from the sale, exchange or other disposition of capital assets (such term to include all fixed assets, whether tangible or intangible, all inventory sold in conjunction with the disposition of fixed assets, and all securities);</w:t>
      </w:r>
    </w:p>
    <w:p>
      <w:pPr>
        <w:spacing w:after="0" w:line="163" w:lineRule="exact"/>
        <w:rPr>
          <w:rFonts w:ascii="Courier New" w:cs="Courier New" w:eastAsia="Courier New" w:hAnsi="Courier New"/>
          <w:sz w:val="14"/>
          <w:szCs w:val="14"/>
          <w:color w:val="auto"/>
        </w:rPr>
      </w:pPr>
    </w:p>
    <w:p>
      <w:pPr>
        <w:ind w:left="1980" w:hanging="434"/>
        <w:spacing w:after="0"/>
        <w:tabs>
          <w:tab w:leader="none" w:pos="19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write-up of any asset;</w:t>
      </w:r>
    </w:p>
    <w:p>
      <w:pPr>
        <w:spacing w:after="0" w:line="170" w:lineRule="exact"/>
        <w:rPr>
          <w:rFonts w:ascii="Courier New" w:cs="Courier New" w:eastAsia="Courier New" w:hAnsi="Courier New"/>
          <w:sz w:val="14"/>
          <w:szCs w:val="14"/>
          <w:color w:val="auto"/>
        </w:rPr>
      </w:pPr>
    </w:p>
    <w:p>
      <w:pPr>
        <w:ind w:left="780" w:right="3319" w:firstLine="766"/>
        <w:spacing w:after="0" w:line="251" w:lineRule="auto"/>
        <w:tabs>
          <w:tab w:leader="none" w:pos="189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gain arising from the acquisition of any securities of the Company or is Subsidiaries; or</w:t>
      </w:r>
    </w:p>
    <w:p>
      <w:pPr>
        <w:spacing w:after="0" w:line="161" w:lineRule="exact"/>
        <w:rPr>
          <w:rFonts w:ascii="Courier New" w:cs="Courier New" w:eastAsia="Courier New" w:hAnsi="Courier New"/>
          <w:sz w:val="14"/>
          <w:szCs w:val="14"/>
          <w:color w:val="auto"/>
        </w:rPr>
      </w:pPr>
    </w:p>
    <w:p>
      <w:pPr>
        <w:ind w:left="780" w:right="3579" w:firstLine="766"/>
        <w:spacing w:after="0" w:line="250" w:lineRule="auto"/>
        <w:tabs>
          <w:tab w:leader="none" w:pos="1976"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or gain (but not any loss) resulting from a change in accounting, discontinuing or disposing of operations, an extraordinary event or prior period adjustments.</w:t>
      </w:r>
    </w:p>
    <w:p>
      <w:pPr>
        <w:spacing w:after="0" w:line="162" w:lineRule="exact"/>
        <w:rPr>
          <w:sz w:val="20"/>
          <w:szCs w:val="20"/>
          <w:color w:val="auto"/>
        </w:rPr>
      </w:pPr>
    </w:p>
    <w:p>
      <w:pPr>
        <w:ind w:right="3479" w:firstLine="769"/>
        <w:spacing w:after="0" w:line="250" w:lineRule="auto"/>
        <w:rPr>
          <w:sz w:val="20"/>
          <w:szCs w:val="20"/>
          <w:color w:val="auto"/>
        </w:rPr>
      </w:pPr>
      <w:r>
        <w:rPr>
          <w:rFonts w:ascii="Courier New" w:cs="Courier New" w:eastAsia="Courier New" w:hAnsi="Courier New"/>
          <w:sz w:val="14"/>
          <w:szCs w:val="14"/>
          <w:color w:val="auto"/>
        </w:rPr>
        <w:t>"CONSOLIDATED NET WORTH" shall mean, at any time, for the Company and its Subsidiaries on a Consolidated basis shareholders' equity at such time determined in accordance with generally accepted accounting principles.</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"CONSOLIDATED TOTAL ASSETS" shall mean the aggregate amount carried as total assets on the books of the Company and its Subsidiaries, on a consolidated basis and after eliminating all inter-company items, in accordance with generally accepted accounting principles.</w:t>
      </w:r>
    </w:p>
    <w:p>
      <w:pPr>
        <w:spacing w:after="0" w:line="16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"CONSOLIDATED TOTAL CAPITALIZATION" shall mean, at any time, the sum of</w:t>
      </w:r>
    </w:p>
    <w:p>
      <w:pPr>
        <w:spacing w:after="0" w:line="6" w:lineRule="exact"/>
        <w:rPr>
          <w:sz w:val="20"/>
          <w:szCs w:val="20"/>
          <w:color w:val="auto"/>
        </w:rPr>
      </w:pPr>
    </w:p>
    <w:p>
      <w:pPr>
        <w:ind w:right="3739" w:firstLine="8"/>
        <w:spacing w:after="0" w:line="251" w:lineRule="auto"/>
        <w:tabs>
          <w:tab w:leader="none" w:pos="342"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Debt at such time plus (ii) Consolidated Net Worth at such time.</w:t>
      </w:r>
    </w:p>
    <w:p>
      <w:pPr>
        <w:spacing w:after="0" w:line="161" w:lineRule="exact"/>
        <w:rPr>
          <w:sz w:val="20"/>
          <w:szCs w:val="20"/>
          <w:color w:val="auto"/>
        </w:rPr>
      </w:pPr>
    </w:p>
    <w:p>
      <w:pPr>
        <w:ind w:right="4179" w:firstLine="769"/>
        <w:spacing w:after="0" w:line="251" w:lineRule="auto"/>
        <w:rPr>
          <w:sz w:val="20"/>
          <w:szCs w:val="20"/>
          <w:color w:val="auto"/>
        </w:rPr>
      </w:pPr>
      <w:r>
        <w:rPr>
          <w:rFonts w:ascii="Courier New" w:cs="Courier New" w:eastAsia="Courier New" w:hAnsi="Courier New"/>
          <w:sz w:val="14"/>
          <w:szCs w:val="14"/>
          <w:color w:val="auto"/>
        </w:rPr>
        <w:t>"DEBT" with respect to any Person means, at any time, without duplication,</w:t>
      </w:r>
    </w:p>
    <w:p>
      <w:pPr>
        <w:spacing w:after="0" w:line="161" w:lineRule="exact"/>
        <w:rPr>
          <w:sz w:val="20"/>
          <w:szCs w:val="20"/>
          <w:color w:val="auto"/>
        </w:rPr>
      </w:pPr>
    </w:p>
    <w:p>
      <w:pPr>
        <w:ind w:left="1880" w:hanging="334"/>
        <w:spacing w:after="0"/>
        <w:tabs>
          <w:tab w:leader="none" w:pos="18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borrowed money;</w:t>
      </w:r>
    </w:p>
    <w:p>
      <w:pPr>
        <w:spacing w:after="0" w:line="170"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the deferred purchase price of property acquired by such Person (excluding accounts payable, accrued expenses, withholding taxes and deferred taxes, in each case arising in the ordinary course of business, but including, without limitation, all liabilities created or arising under any conditional sale or other title retention agreement with respect to any such property);</w:t>
      </w:r>
    </w:p>
    <w:p>
      <w:pPr>
        <w:spacing w:after="0" w:line="163" w:lineRule="exact"/>
        <w:rPr>
          <w:rFonts w:ascii="Courier New" w:cs="Courier New" w:eastAsia="Courier New" w:hAnsi="Courier New"/>
          <w:sz w:val="14"/>
          <w:szCs w:val="14"/>
          <w:color w:val="auto"/>
        </w:rPr>
      </w:pPr>
    </w:p>
    <w:p>
      <w:pPr>
        <w:ind w:left="1880" w:hanging="334"/>
        <w:spacing w:after="0"/>
        <w:tabs>
          <w:tab w:leader="none" w:pos="18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Capitalized Lease Obligations;</w:t>
      </w:r>
    </w:p>
    <w:p>
      <w:pPr>
        <w:spacing w:after="0" w:line="170" w:lineRule="exact"/>
        <w:rPr>
          <w:rFonts w:ascii="Courier New" w:cs="Courier New" w:eastAsia="Courier New" w:hAnsi="Courier New"/>
          <w:sz w:val="14"/>
          <w:szCs w:val="14"/>
          <w:color w:val="auto"/>
        </w:rPr>
      </w:pPr>
    </w:p>
    <w:p>
      <w:pPr>
        <w:ind w:left="780" w:right="3579" w:firstLine="766"/>
        <w:spacing w:after="0" w:line="250" w:lineRule="auto"/>
        <w:tabs>
          <w:tab w:leader="none" w:pos="189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for borrowed money secured by any Lien with respect to any property owned by such Person (whether or not it has assumed or otherwise become liable for such liabilities); and</w:t>
      </w:r>
    </w:p>
    <w:p>
      <w:pPr>
        <w:spacing w:after="0" w:line="161" w:lineRule="exact"/>
        <w:rPr>
          <w:rFonts w:ascii="Courier New" w:cs="Courier New" w:eastAsia="Courier New" w:hAnsi="Courier New"/>
          <w:sz w:val="14"/>
          <w:szCs w:val="14"/>
          <w:color w:val="auto"/>
        </w:rPr>
      </w:pPr>
    </w:p>
    <w:p>
      <w:pPr>
        <w:ind w:left="780" w:right="3319" w:firstLine="766"/>
        <w:spacing w:after="0" w:line="251" w:lineRule="auto"/>
        <w:tabs>
          <w:tab w:leader="none" w:pos="189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Guaranty of such Person with respect to liabilities of a type described in any of clauses (a) through (d) hereof.</w:t>
      </w:r>
    </w:p>
    <w:p>
      <w:pPr>
        <w:sectPr>
          <w:pgSz w:w="11900" w:h="16838" w:orient="portrait"/>
          <w:cols w:equalWidth="0" w:num="1">
            <w:col w:w="10159"/>
          </w:cols>
          <w:pgMar w:left="300" w:top="448" w:right="1440" w:bottom="1440" w:gutter="0" w:footer="0" w:header="0"/>
        </w:sectPr>
      </w:pPr>
    </w:p>
    <w:bookmarkStart w:id="113" w:name="page114"/>
    <w:bookmarkEnd w:id="113"/>
    <w:p>
      <w:pPr>
        <w:jc w:val="right"/>
        <w:ind w:right="3319"/>
        <w:spacing w:after="0"/>
        <w:rPr>
          <w:sz w:val="20"/>
          <w:szCs w:val="20"/>
          <w:color w:val="auto"/>
        </w:rPr>
      </w:pPr>
      <w:r>
        <w:rPr>
          <w:rFonts w:ascii="Courier New" w:cs="Courier New" w:eastAsia="Courier New" w:hAnsi="Courier New"/>
          <w:sz w:val="14"/>
          <w:szCs w:val="14"/>
          <w:color w:val="auto"/>
        </w:rPr>
        <w:t>38</w:t>
      </w:r>
    </w:p>
    <w:p>
      <w:pPr>
        <w:spacing w:after="0" w:line="334"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Debt of any Person shall include all obligations of such Person of the character described in clauses (a) through (e) to the extent such Person remains legally liable in respect thereof notwithstanding that any such obligation is deemed to be extinguished under GAAP and excludes any accounts payable, accrued expenses, withholding taxes and deferred taxes, in each case arising in the ordinary course of business.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"DELAYED DELIVERY FEE" shall have the meaning specified in paragraph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2I(3).</w:t>
      </w:r>
    </w:p>
    <w:p>
      <w:pPr>
        <w:spacing w:after="0" w:line="170" w:lineRule="exact"/>
        <w:rPr>
          <w:sz w:val="20"/>
          <w:szCs w:val="20"/>
          <w:color w:val="auto"/>
        </w:rPr>
      </w:pPr>
    </w:p>
    <w:p>
      <w:pPr>
        <w:ind w:right="3659" w:firstLine="769"/>
        <w:spacing w:after="0" w:line="251" w:lineRule="auto"/>
        <w:rPr>
          <w:sz w:val="20"/>
          <w:szCs w:val="20"/>
          <w:color w:val="auto"/>
        </w:rPr>
      </w:pPr>
      <w:r>
        <w:rPr>
          <w:rFonts w:ascii="Courier New" w:cs="Courier New" w:eastAsia="Courier New" w:hAnsi="Courier New"/>
          <w:sz w:val="14"/>
          <w:szCs w:val="14"/>
          <w:color w:val="auto"/>
        </w:rPr>
        <w:t>"ELIGIBLE SECURITIES" means the following obligations and any other obligations previously approved in writing by the Required Holders:</w:t>
      </w:r>
    </w:p>
    <w:p>
      <w:pPr>
        <w:spacing w:after="0" w:line="161" w:lineRule="exact"/>
        <w:rPr>
          <w:sz w:val="20"/>
          <w:szCs w:val="20"/>
          <w:color w:val="auto"/>
        </w:rPr>
      </w:pPr>
    </w:p>
    <w:p>
      <w:pPr>
        <w:ind w:left="1880" w:hanging="334"/>
        <w:spacing w:after="0"/>
        <w:tabs>
          <w:tab w:leader="none" w:pos="18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Securities;</w:t>
      </w:r>
    </w:p>
    <w:p>
      <w:pPr>
        <w:spacing w:after="0" w:line="170" w:lineRule="exact"/>
        <w:rPr>
          <w:rFonts w:ascii="Courier New" w:cs="Courier New" w:eastAsia="Courier New" w:hAnsi="Courier New"/>
          <w:sz w:val="14"/>
          <w:szCs w:val="14"/>
          <w:color w:val="auto"/>
        </w:rPr>
      </w:pPr>
    </w:p>
    <w:p>
      <w:pPr>
        <w:ind w:left="780" w:right="3479" w:firstLine="766"/>
        <w:spacing w:after="0" w:line="249" w:lineRule="auto"/>
        <w:tabs>
          <w:tab w:leader="none" w:pos="1976"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any corporation organized under the laws of any State of the United States of America or under the laws of any other nation, payable in the United States of America, expressed to mature not later than 92 days following the date of issuance thereof and rated in an investment grade rating category by either S&amp;P or Moody's;</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2062"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bearing demand or time deposits or certificates of deposit maturing within one year from the date of issuance thereof and issued by a bank or trust company organized under the laws of the United States or of any State thereof having capital surplus and undivided profits aggregating at least $200,000,000 and being rated "A-3" or better by S&amp;P or "A" or better by Moody's;</w:t>
      </w:r>
    </w:p>
    <w:p>
      <w:pPr>
        <w:spacing w:after="0" w:line="163" w:lineRule="exact"/>
        <w:rPr>
          <w:rFonts w:ascii="Courier New" w:cs="Courier New" w:eastAsia="Courier New" w:hAnsi="Courier New"/>
          <w:sz w:val="14"/>
          <w:szCs w:val="14"/>
          <w:color w:val="auto"/>
        </w:rPr>
      </w:pPr>
    </w:p>
    <w:p>
      <w:pPr>
        <w:ind w:left="1980" w:hanging="434"/>
        <w:spacing w:after="0"/>
        <w:tabs>
          <w:tab w:leader="none" w:pos="19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Agreements;</w:t>
      </w:r>
    </w:p>
    <w:p>
      <w:pPr>
        <w:spacing w:after="0" w:line="170" w:lineRule="exact"/>
        <w:rPr>
          <w:rFonts w:ascii="Courier New" w:cs="Courier New" w:eastAsia="Courier New" w:hAnsi="Courier New"/>
          <w:sz w:val="14"/>
          <w:szCs w:val="14"/>
          <w:color w:val="auto"/>
        </w:rPr>
      </w:pPr>
    </w:p>
    <w:p>
      <w:pPr>
        <w:ind w:left="1880" w:hanging="334"/>
        <w:spacing w:after="0"/>
        <w:tabs>
          <w:tab w:leader="none" w:pos="18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Municipal Obligations;</w:t>
      </w:r>
    </w:p>
    <w:p>
      <w:pPr>
        <w:spacing w:after="0" w:line="170" w:lineRule="exact"/>
        <w:rPr>
          <w:rFonts w:ascii="Courier New" w:cs="Courier New" w:eastAsia="Courier New" w:hAnsi="Courier New"/>
          <w:sz w:val="14"/>
          <w:szCs w:val="14"/>
          <w:color w:val="auto"/>
        </w:rPr>
      </w:pPr>
    </w:p>
    <w:p>
      <w:pPr>
        <w:ind w:left="1980" w:hanging="434"/>
        <w:spacing w:after="0"/>
        <w:tabs>
          <w:tab w:leader="none" w:pos="19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Pre-Refunded Municipal Obligations;</w:t>
      </w:r>
    </w:p>
    <w:p>
      <w:pPr>
        <w:spacing w:after="0" w:line="170" w:lineRule="exact"/>
        <w:rPr>
          <w:rFonts w:ascii="Courier New" w:cs="Courier New" w:eastAsia="Courier New" w:hAnsi="Courier New"/>
          <w:sz w:val="14"/>
          <w:szCs w:val="14"/>
          <w:color w:val="auto"/>
        </w:rPr>
      </w:pPr>
    </w:p>
    <w:p>
      <w:pPr>
        <w:ind w:left="780" w:right="3319" w:firstLine="766"/>
        <w:spacing w:after="0" w:line="250" w:lineRule="auto"/>
        <w:tabs>
          <w:tab w:leader="none" w:pos="2062"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mutual funds which invest in obligations described in clauses (i) through (vi) above, the shares of which mutual funds are at all times rated "AAA" by S&amp;P;</w:t>
      </w:r>
    </w:p>
    <w:p>
      <w:pPr>
        <w:spacing w:after="0" w:line="161" w:lineRule="exact"/>
        <w:rPr>
          <w:rFonts w:ascii="Courier New" w:cs="Courier New" w:eastAsia="Courier New" w:hAnsi="Courier New"/>
          <w:sz w:val="14"/>
          <w:szCs w:val="14"/>
          <w:color w:val="auto"/>
        </w:rPr>
      </w:pPr>
    </w:p>
    <w:p>
      <w:pPr>
        <w:jc w:val="both"/>
        <w:ind w:left="780" w:right="3479" w:firstLine="766"/>
        <w:spacing w:after="0" w:line="250" w:lineRule="auto"/>
        <w:tabs>
          <w:tab w:leader="none" w:pos="214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tax-exempt or taxable adjustable rate preferred stock issued by a Person having a rating of its long term unsecured debt of "A" or better by S&amp;P or "A-3" or better by Moody's;</w:t>
      </w:r>
    </w:p>
    <w:p>
      <w:pPr>
        <w:spacing w:after="0" w:line="161" w:lineRule="exact"/>
        <w:rPr>
          <w:rFonts w:ascii="Courier New" w:cs="Courier New" w:eastAsia="Courier New" w:hAnsi="Courier New"/>
          <w:sz w:val="14"/>
          <w:szCs w:val="14"/>
          <w:color w:val="auto"/>
        </w:rPr>
      </w:pPr>
    </w:p>
    <w:p>
      <w:pPr>
        <w:ind w:left="780" w:right="3399" w:firstLine="766"/>
        <w:spacing w:after="0" w:line="249" w:lineRule="auto"/>
        <w:tabs>
          <w:tab w:leader="none" w:pos="1976"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asset-backed remarketed certificates of participation representing a fractional undivided interest in the assets of a trust, which certificates are rated at least "A-1" by S&amp;P and "P-1" by Moody's; and</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891"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 set forth in paragraph 6H, equity or debt securities which are listed on a national securities exchange or freely traded in the over-the-counter market so long as the fair market value of such securities do not exceed in the aggregate $5,000,000.</w:t>
      </w:r>
    </w:p>
    <w:p>
      <w:pPr>
        <w:sectPr>
          <w:pgSz w:w="11900" w:h="16838" w:orient="portrait"/>
          <w:cols w:equalWidth="0" w:num="1">
            <w:col w:w="10159"/>
          </w:cols>
          <w:pgMar w:left="300" w:top="448" w:right="1440" w:bottom="1440" w:gutter="0" w:footer="0" w:header="0"/>
        </w:sectPr>
      </w:pPr>
    </w:p>
    <w:bookmarkStart w:id="114" w:name="page115"/>
    <w:bookmarkEnd w:id="114"/>
    <w:p>
      <w:pPr>
        <w:jc w:val="right"/>
        <w:ind w:right="3319"/>
        <w:spacing w:after="0"/>
        <w:rPr>
          <w:sz w:val="20"/>
          <w:szCs w:val="20"/>
          <w:color w:val="auto"/>
        </w:rPr>
      </w:pPr>
      <w:r>
        <w:rPr>
          <w:rFonts w:ascii="Courier New" w:cs="Courier New" w:eastAsia="Courier New" w:hAnsi="Courier New"/>
          <w:sz w:val="14"/>
          <w:szCs w:val="14"/>
          <w:color w:val="auto"/>
        </w:rPr>
        <w:t>39</w:t>
      </w:r>
    </w:p>
    <w:p>
      <w:pPr>
        <w:spacing w:after="0" w:line="334"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"ENVIRONMENTAL AUTHORITY" shall mean any foreign, federal, state, local or regional government that exercises any duly authorized form of jurisdiction or authority under any Environmental Requirement.</w:t>
      </w:r>
    </w:p>
    <w:p>
      <w:pPr>
        <w:spacing w:after="0" w:line="162"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"ENVIRONMENTAL JUDGMENTS AND ORDERS" shall mean all judgments, decrees or orders arising from or in any way associated with any Environmental Requirements, whether or not entered upon consent or written agreements with an Environmental Authority or other duly authorized entity arising from or in any way associated with any Environmental Requirement, whether or not incorporated in a judgment, degree or order.</w:t>
      </w:r>
    </w:p>
    <w:p>
      <w:pPr>
        <w:spacing w:after="0" w:line="163"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"ENVIRONMENTAL LIABILITIES" shall mean any liabilities, whether accrued or contingent, arising from or relating in any way to any Environmental Requirements.</w:t>
      </w:r>
    </w:p>
    <w:p>
      <w:pPr>
        <w:spacing w:after="0" w:line="162"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"ENVIRONMENTAL NOTICES" shall mean any written communication from any Environmental Authority stating possible or alleged noncompliance with or possible or alleged liability under any Environmental Requirement, including without limitation any complaints, citations, demands or requests from any Environmental Authority for correction of any purported violation of any Environmental Requirements or any investigation concerning any purported violation of any Environmental Requirements. Environmental Notices also shall mean (i) any written communication from any other Person threatening litigation or administrative proceedings against or involving the Company relating to alleged violation of any Environmental Requirements and (ii) any complaint, petition or similar documents filed by any other Person commencing litigation or administrative proceedings against or involving the Company relating to alleged violation of any Environmental Requirements.</w:t>
      </w:r>
    </w:p>
    <w:p>
      <w:pPr>
        <w:spacing w:after="0" w:line="170" w:lineRule="exact"/>
        <w:rPr>
          <w:sz w:val="20"/>
          <w:szCs w:val="20"/>
          <w:color w:val="auto"/>
        </w:rPr>
      </w:pPr>
    </w:p>
    <w:p>
      <w:pPr>
        <w:ind w:right="3479" w:firstLine="769"/>
        <w:spacing w:after="0" w:line="250" w:lineRule="auto"/>
        <w:rPr>
          <w:sz w:val="20"/>
          <w:szCs w:val="20"/>
          <w:color w:val="auto"/>
        </w:rPr>
      </w:pPr>
      <w:r>
        <w:rPr>
          <w:rFonts w:ascii="Courier New" w:cs="Courier New" w:eastAsia="Courier New" w:hAnsi="Courier New"/>
          <w:sz w:val="14"/>
          <w:szCs w:val="14"/>
          <w:color w:val="auto"/>
        </w:rPr>
        <w:t>"ENVIRONMENTAL PROCEEDINGS" shall mean any judicial or administrative proceedings arising from or in any way associated with any Environmental Requirement.</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"ENVIRONMENTAL RELEASES" shall mean releases (as defined in CERCLA or under any applicable state or local environmental law or regulation) of Hazardous Materials. Environmental Releases does not include releases for which no remediation or reporting is required by applicable Environmental Requirements and which do not present a danger to health, safety or the environment.</w:t>
      </w:r>
    </w:p>
    <w:p>
      <w:pPr>
        <w:spacing w:after="0" w:line="163"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"ENVIRONMENTAL REQUIREMENTS" shall mean any applicable local, state or federal law, rule, regulation, permit, order, decision, determination or requirement relating in any way to Hazardous Materials or to health, safety or the environment.</w:t>
      </w:r>
    </w:p>
    <w:p>
      <w:pPr>
        <w:spacing w:after="0" w:line="163" w:lineRule="exact"/>
        <w:rPr>
          <w:sz w:val="20"/>
          <w:szCs w:val="20"/>
          <w:color w:val="auto"/>
        </w:rPr>
      </w:pPr>
    </w:p>
    <w:p>
      <w:pPr>
        <w:ind w:right="3319" w:firstLine="769"/>
        <w:spacing w:after="0" w:line="251" w:lineRule="auto"/>
        <w:rPr>
          <w:sz w:val="20"/>
          <w:szCs w:val="20"/>
          <w:color w:val="auto"/>
        </w:rPr>
      </w:pPr>
      <w:r>
        <w:rPr>
          <w:rFonts w:ascii="Courier New" w:cs="Courier New" w:eastAsia="Courier New" w:hAnsi="Courier New"/>
          <w:sz w:val="14"/>
          <w:szCs w:val="14"/>
          <w:color w:val="auto"/>
        </w:rPr>
        <w:t>"ERISA" shall mean the Employee Retirement Income Security Act of 1974, as amended.</w:t>
      </w:r>
    </w:p>
    <w:p>
      <w:pPr>
        <w:spacing w:after="0" w:line="161"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"ERISA AFFILIATE" shall mean any corporation which is a member of the same controlled group of corporations as the Company within the meaning of section 414(b) of the Code, or any trade or business which is under common control with the Company within the meaning of section 414(c) of the Code.</w:t>
      </w:r>
    </w:p>
    <w:p>
      <w:pPr>
        <w:spacing w:after="0" w:line="163"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"ERISA LIEN" shall mean any mortgage, pledge, security interest, encumbrance, deposit arrangement, lien (statutory or otherwise) or charge of any kind (including any agreement to give</w:t>
      </w:r>
    </w:p>
    <w:p>
      <w:pPr>
        <w:sectPr>
          <w:pgSz w:w="11900" w:h="16838" w:orient="portrait"/>
          <w:cols w:equalWidth="0" w:num="1">
            <w:col w:w="10159"/>
          </w:cols>
          <w:pgMar w:left="300" w:top="448" w:right="1440" w:bottom="1440" w:gutter="0" w:footer="0" w:header="0"/>
        </w:sectPr>
      </w:pPr>
    </w:p>
    <w:bookmarkStart w:id="115" w:name="page116"/>
    <w:bookmarkEnd w:id="115"/>
    <w:p>
      <w:pPr>
        <w:jc w:val="right"/>
        <w:ind w:right="3319"/>
        <w:spacing w:after="0"/>
        <w:rPr>
          <w:sz w:val="20"/>
          <w:szCs w:val="20"/>
          <w:color w:val="auto"/>
        </w:rPr>
      </w:pPr>
      <w:r>
        <w:rPr>
          <w:rFonts w:ascii="Courier New" w:cs="Courier New" w:eastAsia="Courier New" w:hAnsi="Courier New"/>
          <w:sz w:val="14"/>
          <w:szCs w:val="14"/>
          <w:color w:val="auto"/>
        </w:rPr>
        <w:t>40</w:t>
      </w:r>
    </w:p>
    <w:p>
      <w:pPr>
        <w:spacing w:after="0" w:line="334"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4"/>
          <w:szCs w:val="14"/>
          <w:color w:val="auto"/>
        </w:rPr>
        <w:t>any of the foregoing) or any other type of preferential arrangement protecting a creditor or securing an obligation associated with the Employee Retirement Income Security Act of 1974.</w:t>
      </w:r>
    </w:p>
    <w:p>
      <w:pPr>
        <w:spacing w:after="0" w:line="162"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"EVENT OF DEFAULT" shall mean any of the events specified in paragraph 7A, PROVIDED that there has been satisfied any requirement in connection with such event for the giving of notice, or the lapse of time, or the happening of any further condition, event or act, and "Default" shall mean any of such events, whether or not any such requirement has been satisfied.</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"EXCHANGE ACT" shall mean the Securities Exchange Act of 1934,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"FACILITY" shall have the meaning specified in paragraph 2A.</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"FACILITY FEE" shall have the meaning specified in paragraph 2I(1).</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"FAIR MARKET VALUE" means, at any time, the sale value of property that would be realized in an arm's-length sale at such time between an informed and willing buyer, and an informed and willing seller, under no compulsion to buy or sell, respectively.</w:t>
      </w:r>
    </w:p>
    <w:p>
      <w:pPr>
        <w:spacing w:after="0" w:line="163"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"GOVERNMENTAL AUTHORITY" shall mean any Federal, state, municipal, local, national or other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a State of the United States, the United States, or a foreign entity or government.</w:t>
      </w:r>
    </w:p>
    <w:p>
      <w:pPr>
        <w:spacing w:after="0" w:line="163" w:lineRule="exact"/>
        <w:rPr>
          <w:sz w:val="20"/>
          <w:szCs w:val="20"/>
          <w:color w:val="auto"/>
        </w:rPr>
      </w:pPr>
    </w:p>
    <w:p>
      <w:pPr>
        <w:ind w:right="3399" w:firstLine="769"/>
        <w:spacing w:after="0" w:line="250" w:lineRule="auto"/>
        <w:rPr>
          <w:sz w:val="20"/>
          <w:szCs w:val="20"/>
          <w:color w:val="auto"/>
        </w:rPr>
      </w:pPr>
      <w:r>
        <w:rPr>
          <w:rFonts w:ascii="Courier New" w:cs="Courier New" w:eastAsia="Courier New" w:hAnsi="Courier New"/>
          <w:sz w:val="14"/>
          <w:szCs w:val="14"/>
          <w:color w:val="auto"/>
        </w:rPr>
        <w:t>"GOVERNMENT SECURITIES" shall mean direct obligations of, or obligations the timely payment of principal and interest on which are fully and unconditionally guaranteed by, the United States of America.</w:t>
      </w:r>
    </w:p>
    <w:p>
      <w:pPr>
        <w:spacing w:after="0" w:line="162" w:lineRule="exact"/>
        <w:rPr>
          <w:sz w:val="20"/>
          <w:szCs w:val="20"/>
          <w:color w:val="auto"/>
        </w:rPr>
      </w:pPr>
    </w:p>
    <w:p>
      <w:pPr>
        <w:jc w:val="both"/>
        <w:ind w:right="3319" w:firstLine="769"/>
        <w:spacing w:after="0" w:line="250" w:lineRule="auto"/>
        <w:rPr>
          <w:sz w:val="20"/>
          <w:szCs w:val="20"/>
          <w:color w:val="auto"/>
        </w:rPr>
      </w:pPr>
      <w:r>
        <w:rPr>
          <w:rFonts w:ascii="Courier New" w:cs="Courier New" w:eastAsia="Courier New" w:hAnsi="Courier New"/>
          <w:sz w:val="14"/>
          <w:szCs w:val="14"/>
          <w:color w:val="auto"/>
        </w:rPr>
        <w:t>"GUARANTORS" shall mean, collectively, the Subsidiaries of the Company listed on Schedule 10B and any Subsidiary that becomes a Guarantor in accordance with paragraph 5D hereof.</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"GUARANTY" or "GUARANTEE" shall mean,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spacing w:after="0" w:line="163" w:lineRule="exact"/>
        <w:rPr>
          <w:sz w:val="20"/>
          <w:szCs w:val="20"/>
          <w:color w:val="auto"/>
        </w:rPr>
      </w:pPr>
    </w:p>
    <w:p>
      <w:pPr>
        <w:ind w:left="780" w:right="3999" w:firstLine="766"/>
        <w:spacing w:after="0" w:line="251" w:lineRule="auto"/>
        <w:tabs>
          <w:tab w:leader="none" w:pos="1891"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purchase such indebtedness or obligation or any property constituting security therefor;</w:t>
      </w:r>
    </w:p>
    <w:p>
      <w:pPr>
        <w:spacing w:after="0" w:line="161"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advance or supply funds for the purchase or payment of such indebtedness or obligation, or to maintain any working capital or other balance sheet condition or any income statement condition of any Person or otherwise to advance or make available funds for the purchase or payment of such indebtedness or obligation;</w:t>
      </w:r>
    </w:p>
    <w:p>
      <w:pPr>
        <w:sectPr>
          <w:pgSz w:w="11900" w:h="16838" w:orient="portrait"/>
          <w:cols w:equalWidth="0" w:num="1">
            <w:col w:w="10159"/>
          </w:cols>
          <w:pgMar w:left="300" w:top="448" w:right="1440" w:bottom="1440" w:gutter="0" w:footer="0" w:header="0"/>
        </w:sectPr>
      </w:pPr>
    </w:p>
    <w:bookmarkStart w:id="116" w:name="page117"/>
    <w:bookmarkEnd w:id="116"/>
    <w:p>
      <w:pPr>
        <w:jc w:val="right"/>
        <w:ind w:right="3319"/>
        <w:spacing w:after="0"/>
        <w:rPr>
          <w:sz w:val="20"/>
          <w:szCs w:val="20"/>
          <w:color w:val="auto"/>
        </w:rPr>
      </w:pPr>
      <w:r>
        <w:rPr>
          <w:rFonts w:ascii="Courier New" w:cs="Courier New" w:eastAsia="Courier New" w:hAnsi="Courier New"/>
          <w:sz w:val="14"/>
          <w:szCs w:val="14"/>
          <w:color w:val="auto"/>
        </w:rPr>
        <w:t>41</w:t>
      </w:r>
    </w:p>
    <w:p>
      <w:pPr>
        <w:spacing w:after="0" w:line="334" w:lineRule="exact"/>
        <w:rPr>
          <w:sz w:val="20"/>
          <w:szCs w:val="20"/>
          <w:color w:val="auto"/>
        </w:rPr>
      </w:pPr>
    </w:p>
    <w:p>
      <w:pPr>
        <w:ind w:left="780" w:right="3479" w:firstLine="766"/>
        <w:spacing w:after="0" w:line="249" w:lineRule="auto"/>
        <w:tabs>
          <w:tab w:leader="none" w:pos="206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163" w:lineRule="exact"/>
        <w:rPr>
          <w:rFonts w:ascii="Courier New" w:cs="Courier New" w:eastAsia="Courier New" w:hAnsi="Courier New"/>
          <w:sz w:val="14"/>
          <w:szCs w:val="14"/>
          <w:color w:val="auto"/>
        </w:rPr>
      </w:pPr>
    </w:p>
    <w:p>
      <w:pPr>
        <w:ind w:left="780" w:right="3659" w:firstLine="766"/>
        <w:spacing w:after="0" w:line="251" w:lineRule="auto"/>
        <w:tabs>
          <w:tab w:leader="none" w:pos="197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to assure the owner of such indebtedness or obligation against loss in respect thereof.</w:t>
      </w:r>
    </w:p>
    <w:p>
      <w:pPr>
        <w:spacing w:after="0" w:line="161" w:lineRule="exact"/>
        <w:rPr>
          <w:sz w:val="20"/>
          <w:szCs w:val="20"/>
          <w:color w:val="auto"/>
        </w:rPr>
      </w:pPr>
    </w:p>
    <w:p>
      <w:pPr>
        <w:jc w:val="both"/>
        <w:ind w:right="3319"/>
        <w:spacing w:after="0" w:line="250" w:lineRule="auto"/>
        <w:rPr>
          <w:sz w:val="20"/>
          <w:szCs w:val="20"/>
          <w:color w:val="auto"/>
        </w:rPr>
      </w:pPr>
      <w:r>
        <w:rPr>
          <w:rFonts w:ascii="Courier New" w:cs="Courier New" w:eastAsia="Courier New" w:hAnsi="Courier New"/>
          <w:sz w:val="14"/>
          <w:szCs w:val="14"/>
          <w:color w:val="auto"/>
        </w:rPr>
        <w:t>In any computation of the indebtedness or other liabilities of the obligor under any Guaranty, the indebtedness or other obligations that are the subject of such Guaranty shall be assumed to be direct obligations of such obligor.</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"GUARANTY AGREEMENT" shall mean any one of the Guaranty Agreements.</w:t>
      </w:r>
    </w:p>
    <w:p>
      <w:pPr>
        <w:spacing w:after="0" w:line="170"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"GUARANTY AGREEMENTS" shall mean each Guaranty Agreement, in substantially the form of Exhibit E hereto, dated as of the date hereof (in the case of the Guarantors listed on Schedule 10B) or dated the date upon which a Subsidiary of the Company becomes a Guarantor in accordance with paragraph 5E, executed and delivered by each Guarantor in each case in connection with this Agreement, as such Guaranty Agreement may be amended, restated modified or supplemented from time to time in accordance with its terms.</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"HAZARDOUS MATERIALS" shall mean (a) hazardous waste as defined in the Resource Conservation and Recovery Act of 1976, or in any applicable federal, state or local law or regulation, (b) hazardous substances, as defined in CERCLA, or in any applicable state or local law or regulation, (c) gasoline, or any other petroleum product or by-product, (d) toxic substances, as defined in the Toxic Substances Control Act of 1976, or in any applicable federal, state or local law or regulation or (e) insecticides, fungicides, or rodenticides, as defined in the Federal Insecticide, Fungicide, and Rodenticide Act of 1975, or in any applicable federal, state or local law or regulation, as each such Act, statute or regulation may be amended from time to time.</w:t>
      </w:r>
    </w:p>
    <w:p>
      <w:pPr>
        <w:spacing w:after="0" w:line="162" w:lineRule="exact"/>
        <w:rPr>
          <w:sz w:val="20"/>
          <w:szCs w:val="20"/>
          <w:color w:val="auto"/>
        </w:rPr>
      </w:pPr>
    </w:p>
    <w:p>
      <w:pPr>
        <w:ind w:right="3319" w:firstLine="769"/>
        <w:spacing w:after="0" w:line="250" w:lineRule="auto"/>
        <w:rPr>
          <w:sz w:val="20"/>
          <w:szCs w:val="20"/>
          <w:color w:val="auto"/>
        </w:rPr>
      </w:pPr>
      <w:r>
        <w:rPr>
          <w:rFonts w:ascii="Courier New" w:cs="Courier New" w:eastAsia="Courier New" w:hAnsi="Courier New"/>
          <w:sz w:val="14"/>
          <w:szCs w:val="14"/>
          <w:color w:val="auto"/>
        </w:rPr>
        <w:t>"HEDGE TREASURY NOTE(S)" shall mean, with respect to any Accepted Note, the United States Treasury Note or Notes whose duration (as determined by Prudential) most closely matches the duration of such Accepted Note.</w:t>
      </w:r>
    </w:p>
    <w:p>
      <w:pPr>
        <w:spacing w:after="0" w:line="162"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"HOSTILE TENDER OFFER" shall mean, with respect to the use of proceeds of any Note, any offer to purchase, or any purchase of, shares of capital stock of any corporation or equity interests in any other entity, or securities convertible into or representing the beneficial ownership of, or rights to acquire, any such shares or equity interests, if such shares, equity interests, securities or rights are of a class which is publicly traded on any securities exchange or in any over-the-counter market, other than purchases of such shares, equity interest, securities or rights representing less than 5% of the equity interests or beneficial ownership of such corporation or other entity for portfolio investment purposes, and such offer or purchase has not been duly approved by the board of directors of such corporation or the equivalent governing body of such other entity prior to the date on which the Company makes the Request for Purchase of such Note.</w:t>
      </w:r>
    </w:p>
    <w:p>
      <w:pPr>
        <w:spacing w:after="0" w:line="170"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"INCLUDING" shall mean, unless the context clearly requires otherwise, "including without limitation".</w:t>
      </w:r>
    </w:p>
    <w:p>
      <w:pPr>
        <w:sectPr>
          <w:pgSz w:w="11900" w:h="16838" w:orient="portrait"/>
          <w:cols w:equalWidth="0" w:num="1">
            <w:col w:w="10159"/>
          </w:cols>
          <w:pgMar w:left="300" w:top="448" w:right="1440" w:bottom="1440" w:gutter="0" w:footer="0" w:header="0"/>
        </w:sectPr>
      </w:pPr>
    </w:p>
    <w:bookmarkStart w:id="117" w:name="page118"/>
    <w:bookmarkEnd w:id="117"/>
    <w:p>
      <w:pPr>
        <w:jc w:val="right"/>
        <w:ind w:right="3319"/>
        <w:spacing w:after="0"/>
        <w:rPr>
          <w:sz w:val="20"/>
          <w:szCs w:val="20"/>
          <w:color w:val="auto"/>
        </w:rPr>
      </w:pPr>
      <w:r>
        <w:rPr>
          <w:rFonts w:ascii="Courier New" w:cs="Courier New" w:eastAsia="Courier New" w:hAnsi="Courier New"/>
          <w:sz w:val="14"/>
          <w:szCs w:val="14"/>
          <w:color w:val="auto"/>
        </w:rPr>
        <w:t>42</w:t>
      </w:r>
    </w:p>
    <w:p>
      <w:pPr>
        <w:spacing w:after="0" w:line="33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"INITIAL CLOSING DAY" shall have the meaning specified in paragraph 3.</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"INITIAL FUNDING DAY" shall have the meaning specified in paragraph 3.</w:t>
      </w:r>
    </w:p>
    <w:p>
      <w:pPr>
        <w:spacing w:after="0" w:line="170"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"INSTITUTIONAL INVESTORS" shall mean (i) any bank, savings bank, savings and loan association or insurance company, (ii) any pension plan or portfolio or investment fund managed or administered by any bank, savings bank, savings and loan association or insurance company, (iii) any investment company owned by any bank, savings bank, savings and loan association or insurance company, the majority of the shares of the capital stock of which are traded on a national securities exchange or in the National Association of Securities Dealers automated quotation system, or (iv) any investment banking company.</w:t>
      </w:r>
    </w:p>
    <w:p>
      <w:pPr>
        <w:spacing w:after="0" w:line="163"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"INTANGIBLES" shall mean goodwill, patents, trademarks, trade names, organization expense, licenses, franchises, exploration permits and import and export permits and other like intangibles, determined in accordance with generally accepted accounting principles.</w:t>
      </w:r>
    </w:p>
    <w:p>
      <w:pPr>
        <w:spacing w:after="0" w:line="163"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"INVESTMENT" shall mean, when used with respect to any Person, any direct or indirect advance, loan or other extension of credit or capital contribution by such Person (by means of transfers of property to others or payments for property or services for the account or use of others, or otherwise) to any other Person, or any direct or indirect purchase or other acquisition or beneficial ownership by such Person of, or of a beneficial interest in, Capital Stock, partnership interests, bonds, notes, debentures or other securities issued by any other Person or the assumption of any liability of any other Person.</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"ISSUANCE PERIOD" shall have the meaning specified in paragraph 2B.</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"LIEN" shall mean any interest in property securing any obligation owed to, or a claim by, a Person other than the owner of the property, whether such interest is based on the common law, statute or contract, and including but not limited to the lien or security interest arising from a mortgage, encumbrance, pledge, security agreement, conditional sale or trust receipt or a lease, consignment or bailment for security purposes. For the purposes of this Agreement, the Company and any Subsidiary shall be deemed to be the owner of any property which it has acquired or holds subject to a conditional sale agreement, financing lease, or other arrangement pursuant to which title to the property has been retained by or vested in some other Person for security purposes.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"MOODY'S" means Moody's Investors Service, Inc. or any successor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thereto.</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"MATERIAL PROVISION" shall have the meaning specified in paragraph 5J.</w:t>
      </w:r>
    </w:p>
    <w:p>
      <w:pPr>
        <w:spacing w:after="0" w:line="170" w:lineRule="exact"/>
        <w:rPr>
          <w:sz w:val="20"/>
          <w:szCs w:val="20"/>
          <w:color w:val="auto"/>
        </w:rPr>
      </w:pPr>
    </w:p>
    <w:p>
      <w:pPr>
        <w:ind w:right="3739" w:firstLine="769"/>
        <w:spacing w:after="0" w:line="251" w:lineRule="auto"/>
        <w:rPr>
          <w:sz w:val="20"/>
          <w:szCs w:val="20"/>
          <w:color w:val="auto"/>
        </w:rPr>
      </w:pPr>
      <w:r>
        <w:rPr>
          <w:rFonts w:ascii="Courier New" w:cs="Courier New" w:eastAsia="Courier New" w:hAnsi="Courier New"/>
          <w:sz w:val="14"/>
          <w:szCs w:val="14"/>
          <w:color w:val="auto"/>
        </w:rPr>
        <w:t>"MULTIEMPLOYER PLAN" shall mean any Plan which is a "multiemployer plan" (as such term is defined in section 4001(a)(3) of ERISA.</w:t>
      </w:r>
    </w:p>
    <w:p>
      <w:pPr>
        <w:spacing w:after="0" w:line="161"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"MUNICIPAL OBLIGATIONS" means general obligations issued by, and supported by the full taxing authority of, any state of the United States of America or of any municipal corporation or other public body organized under the laws of any such state which are rated in the highest investment rating category by both S&amp;P and Moody's.</w:t>
      </w:r>
    </w:p>
    <w:p>
      <w:pPr>
        <w:sectPr>
          <w:pgSz w:w="11900" w:h="16838" w:orient="portrait"/>
          <w:cols w:equalWidth="0" w:num="1">
            <w:col w:w="10159"/>
          </w:cols>
          <w:pgMar w:left="300" w:top="448" w:right="1440" w:bottom="1440" w:gutter="0" w:footer="0" w:header="0"/>
        </w:sectPr>
      </w:pPr>
    </w:p>
    <w:bookmarkStart w:id="118" w:name="page119"/>
    <w:bookmarkEnd w:id="118"/>
    <w:p>
      <w:pPr>
        <w:jc w:val="right"/>
        <w:ind w:right="3319"/>
        <w:spacing w:after="0"/>
        <w:rPr>
          <w:sz w:val="20"/>
          <w:szCs w:val="20"/>
          <w:color w:val="auto"/>
        </w:rPr>
      </w:pPr>
      <w:r>
        <w:rPr>
          <w:rFonts w:ascii="Courier New" w:cs="Courier New" w:eastAsia="Courier New" w:hAnsi="Courier New"/>
          <w:sz w:val="14"/>
          <w:szCs w:val="14"/>
          <w:color w:val="auto"/>
        </w:rPr>
        <w:t>43</w:t>
      </w:r>
    </w:p>
    <w:p>
      <w:pPr>
        <w:spacing w:after="0" w:line="33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"NOTES" shall have the meaning specified in paragraph 1.</w:t>
      </w:r>
    </w:p>
    <w:p>
      <w:pPr>
        <w:spacing w:after="0" w:line="170"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"OFFICER'S CERTIFICATE" shall mean a certificate signed in the name of the Company by its President, one of its Vice Presidents or its Treasurer.</w:t>
      </w:r>
    </w:p>
    <w:p>
      <w:pPr>
        <w:spacing w:after="0" w:line="161" w:lineRule="exact"/>
        <w:rPr>
          <w:sz w:val="20"/>
          <w:szCs w:val="20"/>
          <w:color w:val="auto"/>
        </w:rPr>
      </w:pPr>
    </w:p>
    <w:p>
      <w:pPr>
        <w:jc w:val="both"/>
        <w:ind w:right="3479" w:firstLine="769"/>
        <w:spacing w:after="0" w:line="250" w:lineRule="auto"/>
        <w:rPr>
          <w:sz w:val="20"/>
          <w:szCs w:val="20"/>
          <w:color w:val="auto"/>
        </w:rPr>
      </w:pPr>
      <w:r>
        <w:rPr>
          <w:rFonts w:ascii="Courier New" w:cs="Courier New" w:eastAsia="Courier New" w:hAnsi="Courier New"/>
          <w:sz w:val="14"/>
          <w:szCs w:val="14"/>
          <w:color w:val="auto"/>
        </w:rPr>
        <w:t>"PERSON" shall mean and include an individual, a partnership, a joint venture, limited liability company, a corporation, a trust, an unincorporated organization and a government or any department or agency thereof.</w:t>
      </w:r>
    </w:p>
    <w:p>
      <w:pPr>
        <w:spacing w:after="0" w:line="162"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"PLAN" shall mean any employee pension benefit plan (as such term is defined in section 3 of ERISA) which is or has been established or maintained, or to which contributions are or have been made, by the Company or any ERISA Affiliate.</w:t>
      </w:r>
    </w:p>
    <w:p>
      <w:pPr>
        <w:spacing w:after="0" w:line="163"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"PRE-REFUNDED MUNICIPAL OBLIGATIONS" means obligations of any State of the United States of America or of any municipal corporation or other public body organized under the laws of any such State which are rated, based on the escrow, in the highest investment rating category by both S&amp;P and Moody's and which have been irrevocably called for redemption and advance refunded through the deposit in escrow of Government Securities or other debt securities which are (i) not callable at the option of the issuer thereof prior to maturity, (ii) irrevocably pledged solely to the payment of all principal and interest on such obligations as the same becomes due and (iii) in a principal amount and bear such rate or rates of interest as shall be sufficient to pay in full all principal of, interest, and premium, if any, on such obligations as the same becomes due as verified by a nationally recognized firm of certified public accountants.</w:t>
      </w:r>
    </w:p>
    <w:p>
      <w:pPr>
        <w:spacing w:after="0" w:line="334" w:lineRule="exact"/>
        <w:rPr>
          <w:sz w:val="20"/>
          <w:szCs w:val="20"/>
          <w:color w:val="auto"/>
        </w:rPr>
      </w:pPr>
    </w:p>
    <w:p>
      <w:pPr>
        <w:ind w:right="3659" w:firstLine="769"/>
        <w:spacing w:after="0" w:line="251" w:lineRule="auto"/>
        <w:rPr>
          <w:sz w:val="20"/>
          <w:szCs w:val="20"/>
          <w:color w:val="auto"/>
        </w:rPr>
      </w:pPr>
      <w:r>
        <w:rPr>
          <w:rFonts w:ascii="Courier New" w:cs="Courier New" w:eastAsia="Courier New" w:hAnsi="Courier New"/>
          <w:sz w:val="14"/>
          <w:szCs w:val="14"/>
          <w:color w:val="auto"/>
        </w:rPr>
        <w:t>"PRIORITY DEBT" means with respect any Person, at any time, without duplication, the sum of</w:t>
      </w:r>
    </w:p>
    <w:p>
      <w:pPr>
        <w:spacing w:after="0" w:line="161" w:lineRule="exact"/>
        <w:rPr>
          <w:sz w:val="20"/>
          <w:szCs w:val="20"/>
          <w:color w:val="auto"/>
        </w:rPr>
      </w:pPr>
    </w:p>
    <w:p>
      <w:pPr>
        <w:ind w:left="780" w:right="3819" w:firstLine="766"/>
        <w:spacing w:after="0" w:line="251" w:lineRule="auto"/>
        <w:tabs>
          <w:tab w:leader="none" w:pos="1891"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of each Subsidiary (other than Debt held by the Company or another wholly-owned Subsidiary); and</w:t>
      </w:r>
    </w:p>
    <w:p>
      <w:pPr>
        <w:spacing w:after="0" w:line="161" w:lineRule="exact"/>
        <w:rPr>
          <w:rFonts w:ascii="Courier New" w:cs="Courier New" w:eastAsia="Courier New" w:hAnsi="Courier New"/>
          <w:sz w:val="14"/>
          <w:szCs w:val="14"/>
          <w:color w:val="auto"/>
        </w:rPr>
      </w:pPr>
    </w:p>
    <w:p>
      <w:pPr>
        <w:ind w:left="780" w:right="3479" w:firstLine="766"/>
        <w:spacing w:after="0" w:line="251" w:lineRule="auto"/>
        <w:tabs>
          <w:tab w:leader="none" w:pos="1976"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secured by any Lien other than a Lien described in clauses (ii), (iii) or (v) of paragraph 6B(1).</w:t>
      </w:r>
    </w:p>
    <w:p>
      <w:pPr>
        <w:spacing w:after="0" w:line="161" w:lineRule="exact"/>
        <w:rPr>
          <w:sz w:val="20"/>
          <w:szCs w:val="20"/>
          <w:color w:val="auto"/>
        </w:rPr>
      </w:pPr>
    </w:p>
    <w:p>
      <w:pPr>
        <w:ind w:right="3579" w:firstLine="769"/>
        <w:spacing w:after="0" w:line="251" w:lineRule="auto"/>
        <w:rPr>
          <w:sz w:val="20"/>
          <w:szCs w:val="20"/>
          <w:color w:val="auto"/>
        </w:rPr>
      </w:pPr>
      <w:r>
        <w:rPr>
          <w:rFonts w:ascii="Courier New" w:cs="Courier New" w:eastAsia="Courier New" w:hAnsi="Courier New"/>
          <w:sz w:val="14"/>
          <w:szCs w:val="14"/>
          <w:color w:val="auto"/>
        </w:rPr>
        <w:t>"PROPERTIES" shall mean all real property owned, leased or otherwise used or occupied by the Company or any Subsidiary, wherever located.</w:t>
      </w: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"PRUDENTIAL" shall mean The Prudential Insurance Company of America.</w:t>
      </w:r>
    </w:p>
    <w:p>
      <w:pPr>
        <w:spacing w:after="0" w:line="170" w:lineRule="exact"/>
        <w:rPr>
          <w:sz w:val="20"/>
          <w:szCs w:val="20"/>
          <w:color w:val="auto"/>
        </w:rPr>
      </w:pPr>
    </w:p>
    <w:p>
      <w:pPr>
        <w:jc w:val="both"/>
        <w:ind w:right="3479" w:firstLine="769"/>
        <w:spacing w:after="0" w:line="250" w:lineRule="auto"/>
        <w:rPr>
          <w:sz w:val="20"/>
          <w:szCs w:val="20"/>
          <w:color w:val="auto"/>
        </w:rPr>
      </w:pPr>
      <w:r>
        <w:rPr>
          <w:rFonts w:ascii="Courier New" w:cs="Courier New" w:eastAsia="Courier New" w:hAnsi="Courier New"/>
          <w:sz w:val="14"/>
          <w:szCs w:val="14"/>
          <w:color w:val="auto"/>
        </w:rPr>
        <w:t>"PRUDENTIAL AFFILIATE" shall mean any corporation or other entity all of the Voting Stock (or equivalent voting securities or interests) of which is owned by Prudential either directly or through Prudential Affiliates.</w:t>
      </w:r>
    </w:p>
    <w:p>
      <w:pPr>
        <w:spacing w:after="0" w:line="162"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"PURCHASERS" shall mean with respect to any Accepted Notes, Prudential and/or the Prudential Affiliate(s), which are purchasing such Accepted Notes.</w:t>
      </w:r>
    </w:p>
    <w:p>
      <w:pPr>
        <w:spacing w:after="0" w:line="161" w:lineRule="exact"/>
        <w:rPr>
          <w:sz w:val="20"/>
          <w:szCs w:val="20"/>
          <w:color w:val="auto"/>
        </w:rPr>
      </w:pPr>
    </w:p>
    <w:p>
      <w:pPr>
        <w:ind w:right="3659" w:firstLine="769"/>
        <w:spacing w:after="0" w:line="251" w:lineRule="auto"/>
        <w:rPr>
          <w:sz w:val="20"/>
          <w:szCs w:val="20"/>
          <w:color w:val="auto"/>
        </w:rPr>
      </w:pPr>
      <w:r>
        <w:rPr>
          <w:rFonts w:ascii="Courier New" w:cs="Courier New" w:eastAsia="Courier New" w:hAnsi="Courier New"/>
          <w:sz w:val="14"/>
          <w:szCs w:val="14"/>
          <w:color w:val="auto"/>
        </w:rPr>
        <w:t>"QPAM EXEMPTION" means Prohibited Transaction Class Exemption 84-14 issued by the United States Department of Labor.</w:t>
      </w:r>
    </w:p>
    <w:p>
      <w:pPr>
        <w:sectPr>
          <w:pgSz w:w="11900" w:h="16838" w:orient="portrait"/>
          <w:cols w:equalWidth="0" w:num="1">
            <w:col w:w="10159"/>
          </w:cols>
          <w:pgMar w:left="300" w:top="448" w:right="1440" w:bottom="1440" w:gutter="0" w:footer="0" w:header="0"/>
        </w:sectPr>
      </w:pPr>
    </w:p>
    <w:bookmarkStart w:id="119" w:name="page120"/>
    <w:bookmarkEnd w:id="119"/>
    <w:p>
      <w:pPr>
        <w:jc w:val="right"/>
        <w:ind w:right="3319"/>
        <w:spacing w:after="0"/>
        <w:rPr>
          <w:sz w:val="20"/>
          <w:szCs w:val="20"/>
          <w:color w:val="auto"/>
        </w:rPr>
      </w:pPr>
      <w:r>
        <w:rPr>
          <w:rFonts w:ascii="Courier New" w:cs="Courier New" w:eastAsia="Courier New" w:hAnsi="Courier New"/>
          <w:sz w:val="14"/>
          <w:szCs w:val="14"/>
          <w:color w:val="auto"/>
        </w:rPr>
        <w:t>44</w:t>
      </w:r>
    </w:p>
    <w:p>
      <w:pPr>
        <w:spacing w:after="0" w:line="334"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"QUALIFIED RECEIVABLES FINANCING" shall mean, during any twelve month period, any Receivables Financing of the Company or any Subsidiaries so long as the aggregate face value of the Receivables of the Company or such Subsidiary so sold or discounted in connection therewith, together with the aggregate face value of all other then outstanding Receivables sold or discounted by the Company and the Subsidiaries in other Receivables Financings prior to such time, is less than or equal to thirty-three percent (33%) of the SUM of (i) the face amount of the then outstanding Receivables so sold or discounted, PLUS (ii) the face amount of the then outstanding Receivables of the Company and the Subsidiaries not so sold or discounted by the Company and the Subsidiaries.</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"RECEIVABLES" shall mean any accounts, contract rights and other forms of obligations for the payment of money arising from the sale of goods or the rendering of services by the Company or any of its Subsidiaries, including those outstanding under any off balance sheet factoring agreement or asset securitization program of the Company or any of its Subsidiaries.</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"RECEIVABLES FINANCING" shall mean a transaction pursuant to which funds are advanced to the Company and/or any of its Subsidiaries in exchange for which the Company and/or any of its Subsidiaries shall pledged, sell or otherwise transfer any or all of its Receivables to secure, in whole or in part, the repayment of such funds.</w:t>
      </w:r>
    </w:p>
    <w:p>
      <w:pPr>
        <w:spacing w:after="0" w:line="163" w:lineRule="exact"/>
        <w:rPr>
          <w:sz w:val="20"/>
          <w:szCs w:val="20"/>
          <w:color w:val="auto"/>
        </w:rPr>
      </w:pPr>
    </w:p>
    <w:p>
      <w:pPr>
        <w:jc w:val="both"/>
        <w:ind w:right="3399" w:firstLine="769"/>
        <w:spacing w:after="0" w:line="250" w:lineRule="auto"/>
        <w:rPr>
          <w:sz w:val="20"/>
          <w:szCs w:val="20"/>
          <w:color w:val="auto"/>
        </w:rPr>
      </w:pPr>
      <w:r>
        <w:rPr>
          <w:rFonts w:ascii="Courier New" w:cs="Courier New" w:eastAsia="Courier New" w:hAnsi="Courier New"/>
          <w:sz w:val="14"/>
          <w:szCs w:val="14"/>
          <w:color w:val="auto"/>
        </w:rPr>
        <w:t>"RELATED DOCUMENTS" shall mean this Agreement, any Note, each Guaranty Agreement and any document or instrument executed in connection with any of the foregoing.</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"RENTALS" shall mean for any period of determination all fixed rents or charges (including as such all payments during any such period of determination which the lessee is obligated to make on termination of the lease or surrender of the property) payable by the Company or a Subsidiary (as lessee, sublessee, licensee, franchisee or the like) for such period under a lease, license, or other agreement for the use or possession of real or personal property, tangible or intangible, as determined in accordance with generally accepted accounting principles.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"REQUEST FOR PURCHASE" shall have the meaning specified in paragraph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2D.</w:t>
      </w:r>
    </w:p>
    <w:p>
      <w:pPr>
        <w:spacing w:after="0" w:line="170" w:lineRule="exact"/>
        <w:rPr>
          <w:sz w:val="20"/>
          <w:szCs w:val="20"/>
          <w:color w:val="auto"/>
        </w:rPr>
      </w:pPr>
    </w:p>
    <w:p>
      <w:pPr>
        <w:ind w:right="3399" w:firstLine="769"/>
        <w:spacing w:after="0" w:line="250" w:lineRule="auto"/>
        <w:rPr>
          <w:sz w:val="20"/>
          <w:szCs w:val="20"/>
          <w:color w:val="auto"/>
        </w:rPr>
      </w:pPr>
      <w:r>
        <w:rPr>
          <w:rFonts w:ascii="Courier New" w:cs="Courier New" w:eastAsia="Courier New" w:hAnsi="Courier New"/>
          <w:sz w:val="14"/>
          <w:szCs w:val="14"/>
          <w:color w:val="auto"/>
        </w:rPr>
        <w:t>"REQUIRED HOLDER(S)" shall mean the holder or holders of at least 66-2/3% of the aggregate principal amount of the Notes or of a Series of Notes, as the context may require, from time to time outstanding.</w:t>
      </w:r>
    </w:p>
    <w:p>
      <w:pPr>
        <w:spacing w:after="0" w:line="162"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"RESCHEDULED CLOSING DAY" shall have the meaning specified in paragraph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2H.</w:t>
      </w:r>
    </w:p>
    <w:p>
      <w:pPr>
        <w:spacing w:after="0" w:line="170" w:lineRule="exact"/>
        <w:rPr>
          <w:sz w:val="20"/>
          <w:szCs w:val="20"/>
          <w:color w:val="auto"/>
        </w:rPr>
      </w:pPr>
    </w:p>
    <w:p>
      <w:pPr>
        <w:ind w:right="3579" w:firstLine="769"/>
        <w:spacing w:after="0" w:line="249" w:lineRule="auto"/>
        <w:rPr>
          <w:sz w:val="20"/>
          <w:szCs w:val="20"/>
          <w:color w:val="auto"/>
        </w:rPr>
      </w:pPr>
      <w:r>
        <w:rPr>
          <w:rFonts w:ascii="Courier New" w:cs="Courier New" w:eastAsia="Courier New" w:hAnsi="Courier New"/>
          <w:sz w:val="14"/>
          <w:szCs w:val="14"/>
          <w:color w:val="auto"/>
        </w:rPr>
        <w:t>"RESPONSIBLE OFFICER" shall mean the chief executive officer, chief operating officer, chief financial officer or chief accounting officer of the Company, general counsel of the Company or any other officer of the Company involved principally in its financial administration or its controllership function.</w:t>
      </w:r>
    </w:p>
    <w:p>
      <w:pPr>
        <w:spacing w:after="0" w:line="163" w:lineRule="exact"/>
        <w:rPr>
          <w:sz w:val="20"/>
          <w:szCs w:val="20"/>
          <w:color w:val="auto"/>
        </w:rPr>
      </w:pPr>
    </w:p>
    <w:p>
      <w:pPr>
        <w:ind w:right="3579" w:firstLine="769"/>
        <w:spacing w:after="0" w:line="250" w:lineRule="auto"/>
        <w:rPr>
          <w:sz w:val="20"/>
          <w:szCs w:val="20"/>
          <w:color w:val="auto"/>
        </w:rPr>
      </w:pPr>
      <w:r>
        <w:rPr>
          <w:rFonts w:ascii="Courier New" w:cs="Courier New" w:eastAsia="Courier New" w:hAnsi="Courier New"/>
          <w:sz w:val="14"/>
          <w:szCs w:val="14"/>
          <w:color w:val="auto"/>
        </w:rPr>
        <w:t>"RHEEM AGREEMENTS" shall mean each of the agreements between the Company [AND/OR ITS SUBSIDIARIES] and Rheem Manufacturing Company, a New York corporation.</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"S&amp;P" means Standard &amp; Poor's Rating Group or any successor thereto.</w:t>
      </w:r>
    </w:p>
    <w:p>
      <w:pPr>
        <w:sectPr>
          <w:pgSz w:w="11900" w:h="16838" w:orient="portrait"/>
          <w:cols w:equalWidth="0" w:num="1">
            <w:col w:w="10159"/>
          </w:cols>
          <w:pgMar w:left="300" w:top="448" w:right="1440" w:bottom="1440" w:gutter="0" w:footer="0" w:header="0"/>
        </w:sectPr>
      </w:pPr>
    </w:p>
    <w:bookmarkStart w:id="120" w:name="page121"/>
    <w:bookmarkEnd w:id="120"/>
    <w:p>
      <w:pPr>
        <w:jc w:val="right"/>
        <w:ind w:right="3319"/>
        <w:spacing w:after="0"/>
        <w:rPr>
          <w:sz w:val="20"/>
          <w:szCs w:val="20"/>
          <w:color w:val="auto"/>
        </w:rPr>
      </w:pPr>
      <w:r>
        <w:rPr>
          <w:rFonts w:ascii="Courier New" w:cs="Courier New" w:eastAsia="Courier New" w:hAnsi="Courier New"/>
          <w:sz w:val="14"/>
          <w:szCs w:val="14"/>
          <w:color w:val="auto"/>
        </w:rPr>
        <w:t>45</w:t>
      </w:r>
    </w:p>
    <w:p>
      <w:pPr>
        <w:spacing w:after="0" w:line="33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"SECURITIES ACT" shall mean the Securities Act of 1933, as amended.</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"SERIES" shall have the meaning specified in paragraph 1.</w:t>
      </w:r>
    </w:p>
    <w:p>
      <w:pPr>
        <w:spacing w:after="0" w:line="170"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"SIGNIFICANT HOLDER" shall mean (i) Prudential, so long as Prudential or any Prudential Affiliate shall hold (or be committed under this Agreement to purchase) any Note, or (ii) any other holder of at least 10% of the aggregate principal amount of the Notes of any Series from time to time outstanding.</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"SUBSIDIARY" shall mean any corporation or other entity in which 50% or more of its outstanding voting stock or 50% or more of all equity interests is owned directly or indirectly by the Company and/or by one or more of the Company's Subsidiaries.</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"SUBSTANTIAL PART" shall mean, with respect to any transfer, assets which (i)(A) together with all other assets disposed of in the same fiscal year constitute 10% or more of Consolidated Total Assets determined as of the end of the immediately preceding fiscal year or (B) have contributed 10% or more of Consolidated Net Income for any of the three most recently completed fiscal years and (ii) from the date hereof the aggregate book value or, if higher, Fair Market Value of all Disposed assets exceed 25% of Consolidated Total Assets.</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"THIRD PARTY" shall mean all lessees, sublessees, licensees and other users of the Properties, excluding those users of the Properties in the ordinary course of the Company's business (consistent with its practices on the Initial Closing Day) and on a temporary basis.</w:t>
      </w:r>
    </w:p>
    <w:p>
      <w:pPr>
        <w:spacing w:after="0" w:line="163" w:lineRule="exact"/>
        <w:rPr>
          <w:sz w:val="20"/>
          <w:szCs w:val="20"/>
          <w:color w:val="auto"/>
        </w:rPr>
      </w:pPr>
    </w:p>
    <w:p>
      <w:pPr>
        <w:ind w:right="3319" w:firstLine="769"/>
        <w:spacing w:after="0" w:line="251" w:lineRule="auto"/>
        <w:rPr>
          <w:sz w:val="20"/>
          <w:szCs w:val="20"/>
          <w:color w:val="auto"/>
        </w:rPr>
      </w:pPr>
      <w:r>
        <w:rPr>
          <w:rFonts w:ascii="Courier New" w:cs="Courier New" w:eastAsia="Courier New" w:hAnsi="Courier New"/>
          <w:sz w:val="14"/>
          <w:szCs w:val="14"/>
          <w:color w:val="auto"/>
        </w:rPr>
        <w:t>"TRANSFEREE" shall mean any direct or indirect transferee of all or any part of any Note purchased by any Purchaser under this Agreement.</w:t>
      </w:r>
    </w:p>
    <w:p>
      <w:pPr>
        <w:spacing w:after="0" w:line="161"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"VOTING STOCK" shall mean, with respect to any corporation, any shares of stock of such corporation whose holders are entitled under ordinary circumstances to vote for the election of directors of such corporation (irrespective of whether at the time stock of any other class or classes shall have or might have voting power by reason of the happening of any contingency).</w:t>
      </w:r>
    </w:p>
    <w:p>
      <w:pPr>
        <w:spacing w:after="0" w:line="163"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10C. ACCOUNTING PRINCIPLES, TERMS AND DETERMINATIONS. All references in this Agreement to "generally accepted accounting principles" shall be deemed to refer to generally accepted accounting principles in effect in the United States at the time of application thereof. Unless otherwise specified herein, all accounting terms used herein shall be interpreted, all determinations with respect to accounting matters hereunder shall be made, and all unaudited financial statements and certificates and reports as to financial matters required to be furnished hereunder shall be prepared, in accordance with generally accepted accounting principles applied on a basis consistent with the most recent audited financial statements delivered pursuant to clause (ii) of paragraph 5A or, if no such statements have been so delivered, the most recent audited financial statements referred to in clause (i) of paragraph 8B.</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11. MISCELLANEOUS.</w:t>
      </w:r>
    </w:p>
    <w:p>
      <w:pPr>
        <w:spacing w:after="0" w:line="170"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11A. PAYMENTS. The Company agrees that, so long as any Purchaser shall hold any Note, it will make payments of principal of, interest on, and any Yield-Maintenance Amount payable with respect to, such Note, which comply with the terms of this Agreement, by wire</w:t>
      </w:r>
    </w:p>
    <w:p>
      <w:pPr>
        <w:sectPr>
          <w:pgSz w:w="11900" w:h="16838" w:orient="portrait"/>
          <w:cols w:equalWidth="0" w:num="1">
            <w:col w:w="10159"/>
          </w:cols>
          <w:pgMar w:left="300" w:top="448" w:right="1440" w:bottom="1440" w:gutter="0" w:footer="0" w:header="0"/>
        </w:sectPr>
      </w:pPr>
    </w:p>
    <w:bookmarkStart w:id="121" w:name="page122"/>
    <w:bookmarkEnd w:id="121"/>
    <w:p>
      <w:pPr>
        <w:jc w:val="right"/>
        <w:ind w:right="3319"/>
        <w:spacing w:after="0"/>
        <w:rPr>
          <w:sz w:val="20"/>
          <w:szCs w:val="20"/>
          <w:color w:val="auto"/>
        </w:rPr>
      </w:pPr>
      <w:r>
        <w:rPr>
          <w:rFonts w:ascii="Courier New" w:cs="Courier New" w:eastAsia="Courier New" w:hAnsi="Courier New"/>
          <w:sz w:val="14"/>
          <w:szCs w:val="14"/>
          <w:color w:val="auto"/>
        </w:rPr>
        <w:t>46</w:t>
      </w:r>
    </w:p>
    <w:p>
      <w:pPr>
        <w:spacing w:after="0" w:line="334"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transfer of immediately available funds for credit (not later than 12:00 noon, New York City local time, on the date due) to (i) the account or accounts of such Purchaser specified in the Confirmation of Acceptance with respect to such Note in the case of any Shelf Note or (ii) such other account or accounts in the United States as such Purchaser may from time to time designate in writing, notwithstanding any contrary provision herein or in any Note with respect to the place of payment. Each Purchaser agrees that, before disposing of any Note, it will make a notation thereon (or on a schedule attached thereto) of all principal payments previously made thereon and of the date to which interest thereon has been paid. The Company agrees to afford the benefits of this paragraph 11A to any Transferee which shall have made the same agreement as the Purchasers have made in this paragraph 11A.</w:t>
      </w:r>
    </w:p>
    <w:p>
      <w:pPr>
        <w:spacing w:after="0" w:line="170"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11B. EXPENSES. The Company agrees, whether or not the transactions contemplated hereby shall be consummated, to pay, and save Prudential, each Purchaser and any Transferee harmless against liability for the payment of, all out-of-pocket expenses arising in connection with such transactions, including:</w:t>
      </w:r>
    </w:p>
    <w:p>
      <w:pPr>
        <w:spacing w:after="0" w:line="163" w:lineRule="exact"/>
        <w:rPr>
          <w:sz w:val="20"/>
          <w:szCs w:val="20"/>
          <w:color w:val="auto"/>
        </w:rPr>
      </w:pPr>
    </w:p>
    <w:p>
      <w:pPr>
        <w:ind w:left="780" w:right="3319" w:firstLine="766"/>
        <w:spacing w:after="0" w:line="249" w:lineRule="auto"/>
        <w:tabs>
          <w:tab w:leader="none" w:pos="1891"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taxes (together in each case with interest and penalties, if any), other than state, federal, local or foreign income taxes, intangible taxes, or franchise taxes, including without limitation, all stamp, recording and other similar taxes, which may be payable with respect to the execution and delivery of this Agreement or the execution, delivery or acquisition of any Note;</w:t>
      </w:r>
    </w:p>
    <w:p>
      <w:pPr>
        <w:spacing w:after="0" w:line="163" w:lineRule="exact"/>
        <w:rPr>
          <w:rFonts w:ascii="Courier New" w:cs="Courier New" w:eastAsia="Courier New" w:hAnsi="Courier New"/>
          <w:sz w:val="14"/>
          <w:szCs w:val="14"/>
          <w:color w:val="auto"/>
        </w:rPr>
      </w:pPr>
    </w:p>
    <w:p>
      <w:pPr>
        <w:ind w:left="780" w:right="3319" w:firstLine="766"/>
        <w:spacing w:after="0" w:line="249" w:lineRule="auto"/>
        <w:tabs>
          <w:tab w:leader="none" w:pos="1976"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 production and duplication charges and the fees and expenses of any special counsel engaged by the Purchasers in connection with this Agreement, the transactions contemplated hereby and any subsequent proposed modification of, or proposed consent under, this Agreement, whether or not such proposed modification shall be effected or proposed consent granted; PROVIDED, HOWEVER, that in connection with the fees and expenses of legal counsel of the Purchasers incurred prior to the Initial Closing Day, the Purchasers shall agree to use the Facility Fee paid by the Company under paragraph 2I(1) to pay all or a portion of such fees and expenses; and</w:t>
      </w:r>
    </w:p>
    <w:p>
      <w:pPr>
        <w:spacing w:after="0" w:line="162" w:lineRule="exact"/>
        <w:rPr>
          <w:rFonts w:ascii="Courier New" w:cs="Courier New" w:eastAsia="Courier New" w:hAnsi="Courier New"/>
          <w:sz w:val="14"/>
          <w:szCs w:val="14"/>
          <w:color w:val="auto"/>
        </w:rPr>
      </w:pPr>
    </w:p>
    <w:p>
      <w:pPr>
        <w:ind w:left="780" w:right="3319" w:firstLine="766"/>
        <w:spacing w:after="0" w:line="248" w:lineRule="auto"/>
        <w:tabs>
          <w:tab w:leader="none" w:pos="2062"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and expenses, including fees and expenses of legal counsel incurred by you, any other Purchaser or any Transferee in connection with the restructuring, refinancing or "work out" of this Agreement or the Notes or the transactions contemplated hereby or thereby or in enforcing (or determining whether or how to enforce) any rights under this Agreement or the Notes or in responding to any subpoena or other legal process or informal investigative demand issued in connection with this Agreement or the Notes or the transactions contemplated hereby or by reason of your or any Transferee's having acquired any Note, including without limitation costs and expenses incurred in any bankruptcy case.</w:t>
      </w:r>
    </w:p>
    <w:p>
      <w:pPr>
        <w:spacing w:after="0" w:line="169"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Notwithstanding the foregoing, the Company shall not be liable for any counsel fees incurred by any Purchaser or Transferee arising in connection with a transfer in the ordinary course of any Note or portion thereof or interest therein by Prudential or any other Purchaser to any Transferee. The obligations of the Company under this paragraph 11B shall survive the transfer of any Note or portion thereof or interest therein by any Purchaser or any Transferee and the payment of any Note.</w:t>
      </w:r>
    </w:p>
    <w:p>
      <w:pPr>
        <w:sectPr>
          <w:pgSz w:w="11900" w:h="16838" w:orient="portrait"/>
          <w:cols w:equalWidth="0" w:num="1">
            <w:col w:w="10159"/>
          </w:cols>
          <w:pgMar w:left="300" w:top="448" w:right="1440" w:bottom="1440" w:gutter="0" w:footer="0" w:header="0"/>
        </w:sectPr>
      </w:pPr>
    </w:p>
    <w:bookmarkStart w:id="122" w:name="page123"/>
    <w:bookmarkEnd w:id="122"/>
    <w:p>
      <w:pPr>
        <w:jc w:val="right"/>
        <w:ind w:right="3319"/>
        <w:spacing w:after="0"/>
        <w:rPr>
          <w:sz w:val="20"/>
          <w:szCs w:val="20"/>
          <w:color w:val="auto"/>
        </w:rPr>
      </w:pPr>
      <w:r>
        <w:rPr>
          <w:rFonts w:ascii="Courier New" w:cs="Courier New" w:eastAsia="Courier New" w:hAnsi="Courier New"/>
          <w:sz w:val="14"/>
          <w:szCs w:val="14"/>
          <w:color w:val="auto"/>
        </w:rPr>
        <w:t>47</w:t>
      </w:r>
    </w:p>
    <w:p>
      <w:pPr>
        <w:spacing w:after="0" w:line="334"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11C. CONSENT TO AMENDMENTS. This Agreement may be amended, and the Company may take any action herein prohibited, or omit to perform any act herein required to be performed by it, if the Company shall obtain the written consent to such amendment, action or omission to act, of the Required Holder(s) of the Notes of each Series except that, (i) with the written consent of the holders of all Notes of a particular Series, and if an Event of Default shall have occurred and be continuing, of the holders of all Notes of all Series, at the time outstanding (and not without such written consents), the Notes of such Series may be amended or the provisions thereof waived to change the maturity thereof, to change or affect the principal thereof, or to change or affect the rate or time of payment of interest on or any Yield-Maintenance Amount payable with respect to the Notes of such Series, (ii) without the written consent of the holder or holders of all Notes at the time outstanding, no amendment to or waiver of the provisions of this Agreement shall change or affect the provisions of paragraph 7A or this paragraph 11C insofar as such provisions relate to proportions of the principal amount of the Notes of any Series, or the rights of any individual holder of Notes, required with respect to any declaration of Notes to be due and payable or with respect to any consent, amendment, waiver or declaration, (iii) with the written consent of Prudential (and not without the written consent of Prudential) the provisions of paragraph 2 may be amended or waived (except insofar as any such amendment or waiver would affect any rights or obligations with respect to the purchase and sale of Notes which shall have become Accepted Notes prior to such amendment or waiver), and (iv) with the written consent of all of the Purchasers which shall have become obligated to purchase Accepted Notes of any Series (and not without the written consent of all such Purchasers), any of the provisions of paragraphs 2 and 3 may be amended or waived insofar as such amendment or waiver would affect only rights or obligations with respect to the purchase and sale of the Accepted Notes of such Series or the terms and provisions of such Accepted Notes. Each holder of any Note at the time or thereafter outstanding shall be bound by any consent authorized by this paragraph 11C, whether or not such Note shall have been marked to indicate such consent, but any Notes issued thereafter may bear a notation referring to any such consent. No course of dealing between the Company and the holder of any Note nor any delay in exercising any rights hereunder or under any Note shall operate as a waiver of any rights of any holder of such Note. As used herein and in the Notes, the term "this Agreement" and references thereto shall mean this Agreement as it may from time to time be amended or supplemented. Prior to its effectiveness, any amendment, waiver or consent shall be in writing and executed by the Company and the Required Holders or the holders of all Notes, as applicable.</w:t>
      </w:r>
    </w:p>
    <w:p>
      <w:pPr>
        <w:spacing w:after="0" w:line="346" w:lineRule="exact"/>
        <w:rPr>
          <w:sz w:val="20"/>
          <w:szCs w:val="20"/>
          <w:color w:val="auto"/>
        </w:rPr>
      </w:pPr>
    </w:p>
    <w:p>
      <w:pPr>
        <w:ind w:right="4339" w:firstLine="769"/>
        <w:spacing w:after="0" w:line="251" w:lineRule="auto"/>
        <w:rPr>
          <w:sz w:val="20"/>
          <w:szCs w:val="20"/>
          <w:color w:val="auto"/>
        </w:rPr>
      </w:pPr>
      <w:r>
        <w:rPr>
          <w:rFonts w:ascii="Courier New" w:cs="Courier New" w:eastAsia="Courier New" w:hAnsi="Courier New"/>
          <w:sz w:val="14"/>
          <w:szCs w:val="14"/>
          <w:color w:val="auto"/>
        </w:rPr>
        <w:t>11D. FORM AND REGISTRATION; TRANSFER AND EXCHANGE; TRANSFER RESTRICTIONS; LOST NOTES.</w:t>
      </w:r>
    </w:p>
    <w:p>
      <w:pPr>
        <w:spacing w:after="0" w:line="161"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11D(1) FORM AND REGISTRATION. The Notes are issuable as registered notes without coupons in denominations of at least $1,000,000, except as may be necessary to reflect any principal amount not evenly divisible by $1,000,000. The Company shall keep at its principal office a register in which the Company shall provide for the registration of Notes and of transfers of Notes. Upon surrender for registration of transfer of any Note at the principal office of the Company, the Company shall, at its expense, execute and deliver one or more new Notes of like tenor and of a like aggregate principal amount, registered in the name of such transferee or transferees.</w:t>
      </w:r>
    </w:p>
    <w:p>
      <w:pPr>
        <w:sectPr>
          <w:pgSz w:w="11900" w:h="16838" w:orient="portrait"/>
          <w:cols w:equalWidth="0" w:num="1">
            <w:col w:w="10159"/>
          </w:cols>
          <w:pgMar w:left="300" w:top="448" w:right="1440" w:bottom="1440" w:gutter="0" w:footer="0" w:header="0"/>
        </w:sectPr>
      </w:pPr>
    </w:p>
    <w:bookmarkStart w:id="123" w:name="page124"/>
    <w:bookmarkEnd w:id="123"/>
    <w:p>
      <w:pPr>
        <w:jc w:val="right"/>
        <w:ind w:right="3319"/>
        <w:spacing w:after="0"/>
        <w:rPr>
          <w:sz w:val="20"/>
          <w:szCs w:val="20"/>
          <w:color w:val="auto"/>
        </w:rPr>
      </w:pPr>
      <w:r>
        <w:rPr>
          <w:rFonts w:ascii="Courier New" w:cs="Courier New" w:eastAsia="Courier New" w:hAnsi="Courier New"/>
          <w:sz w:val="14"/>
          <w:szCs w:val="14"/>
          <w:color w:val="auto"/>
        </w:rPr>
        <w:t>48</w:t>
      </w:r>
    </w:p>
    <w:p>
      <w:pPr>
        <w:spacing w:after="0" w:line="334"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11D(2) TRANSFER AND EXCHANGE OF NOTES. At the option of the holder of any Note, such Note may be exchanged for other Notes of like tenor and of any authorized denominations, of a like aggregate principal amount, upon surrender of the Note to be exchanged at the principal office of the Company. Whenever any Notes are so surrendered for exchange, the Company shall, at its expense, execute and deliver the Notes which the holder making the exchange is entitled to receive. Each installment of principal payable on each installment date upon each new Note issued upon any such transfer or exchange shall be in the same proportion to the unpaid principal amount of such new Note as the installment of principal payable on such date on the Note surrendered for registration of transfer or exchange bore to the unpaid principal amount of such Note. No reference need be made in any such new Note to any installment or installments of principal previously due and paid upon the Note surrendered for registration of transfer or exchange. Every Note surrendered for registration of transfer or exchange shall be duly endorsed, or be accompanied by a written instrument of transfer duly executed, by the holder of such Note or such holder's attorney duly authorized in writing. Any Note or Notes issued in exchange for any Note or upon transfer thereof shall carry the rights to unpaid interest and interest to accrue which were carried by the Note so exchanged or transferred, so that neither gain nor loss of interest shall result from any such transfer or exchange.</w:t>
      </w:r>
    </w:p>
    <w:p>
      <w:pPr>
        <w:spacing w:after="0" w:line="337"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11D(3) LOST NOTES. Upon receipt of written notice from the holder of any Note of the loss, theft, destruction or mutilation of such Note and, in the case of any such loss, theft or destruction, upon receipt of such holder's unsecured indemnity agreement, in form and substance reasonably satisfactory to the Company, or in the case of any such mutilation upon surrender and cancellation of such Note, the Company will make and deliver a new Note, of like tenor, in lieu of the lost, stolen, destroyed or mutilated Note.</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11E. PERSONS DEEMED OWNERS; PARTICIPATIONS. Prior to due presentment for registration of transfer, the Company may treat the Person in whose name any Note is registered as the owner and holder of such Note for the purpose of receiving payment of principal of and interest on, and any Yield-Maintenance Amount payable with respect to, such Note and for all other purposes whatsoever, whether or not such Note shall be overdue, and the Company shall not be affected by notice to the contrary. Subject to the preceding sentence, the holder of any Note may from time to time grant participations in all or any part of such Note to any Person on such terms and conditions as may be determined by such holder in its sole and absolute discretion.</w:t>
      </w:r>
    </w:p>
    <w:p>
      <w:pPr>
        <w:spacing w:after="0" w:line="162"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11F. SURVIVAL OF REPRESENTATIONS AND WARRANTIES; ENTIRE AGREEMENT. All representations and warranties contained herein or made in writing by or on behalf of the Company in connection herewith shall survive the execution and delivery of this Agreement and the Notes, the transfer by any Purchaser of any Note or portion thereof or interest therein and the payment of any Note, and may be relied upon by any Transferee, regardless of any investigation made at any time by or on behalf of any Purchaser or any Transferee. Subject to the preceding sentence, this Agreement and the Notes embody the entire agreement and understanding between the parties hereto with respect to the subject matter hereof and supersede all prior agreements and understandings relating to such subject matter.</w:t>
      </w:r>
    </w:p>
    <w:p>
      <w:pPr>
        <w:spacing w:after="0" w:line="169" w:lineRule="exact"/>
        <w:rPr>
          <w:sz w:val="20"/>
          <w:szCs w:val="20"/>
          <w:color w:val="auto"/>
        </w:rPr>
      </w:pPr>
    </w:p>
    <w:p>
      <w:pPr>
        <w:jc w:val="both"/>
        <w:ind w:right="3319" w:firstLine="769"/>
        <w:spacing w:after="0" w:line="250" w:lineRule="auto"/>
        <w:rPr>
          <w:sz w:val="20"/>
          <w:szCs w:val="20"/>
          <w:color w:val="auto"/>
        </w:rPr>
      </w:pPr>
      <w:r>
        <w:rPr>
          <w:rFonts w:ascii="Courier New" w:cs="Courier New" w:eastAsia="Courier New" w:hAnsi="Courier New"/>
          <w:sz w:val="14"/>
          <w:szCs w:val="14"/>
          <w:color w:val="auto"/>
        </w:rPr>
        <w:t>11G. SUCCESSORS AND ASSIGNS. All covenants and other agreements in this Agreement contained by or on behalf of any of the parties hereto shall bind and inure to the benefit of the</w:t>
      </w:r>
    </w:p>
    <w:p>
      <w:pPr>
        <w:sectPr>
          <w:pgSz w:w="11900" w:h="16838" w:orient="portrait"/>
          <w:cols w:equalWidth="0" w:num="1">
            <w:col w:w="10159"/>
          </w:cols>
          <w:pgMar w:left="300" w:top="448" w:right="1440" w:bottom="1440" w:gutter="0" w:footer="0" w:header="0"/>
        </w:sectPr>
      </w:pPr>
    </w:p>
    <w:bookmarkStart w:id="124" w:name="page125"/>
    <w:bookmarkEnd w:id="124"/>
    <w:p>
      <w:pPr>
        <w:jc w:val="right"/>
        <w:ind w:right="3319"/>
        <w:spacing w:after="0"/>
        <w:rPr>
          <w:sz w:val="20"/>
          <w:szCs w:val="20"/>
          <w:color w:val="auto"/>
        </w:rPr>
      </w:pPr>
      <w:r>
        <w:rPr>
          <w:rFonts w:ascii="Courier New" w:cs="Courier New" w:eastAsia="Courier New" w:hAnsi="Courier New"/>
          <w:sz w:val="14"/>
          <w:szCs w:val="14"/>
          <w:color w:val="auto"/>
        </w:rPr>
        <w:t>49</w:t>
      </w:r>
    </w:p>
    <w:p>
      <w:pPr>
        <w:spacing w:after="0" w:line="334" w:lineRule="exact"/>
        <w:rPr>
          <w:sz w:val="20"/>
          <w:szCs w:val="20"/>
          <w:color w:val="auto"/>
        </w:rPr>
      </w:pPr>
    </w:p>
    <w:p>
      <w:pPr>
        <w:ind w:right="3739"/>
        <w:spacing w:after="0" w:line="251" w:lineRule="auto"/>
        <w:rPr>
          <w:sz w:val="20"/>
          <w:szCs w:val="20"/>
          <w:color w:val="auto"/>
        </w:rPr>
      </w:pPr>
      <w:r>
        <w:rPr>
          <w:rFonts w:ascii="Courier New" w:cs="Courier New" w:eastAsia="Courier New" w:hAnsi="Courier New"/>
          <w:sz w:val="14"/>
          <w:szCs w:val="14"/>
          <w:color w:val="auto"/>
        </w:rPr>
        <w:t>respective successors and assigns of the parties hereto (including, without limitation, any Transferee) whether so expressed or not.</w:t>
      </w:r>
    </w:p>
    <w:p>
      <w:pPr>
        <w:spacing w:after="0" w:line="161"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11H. INDEPENDENCE OF COVENANTS. All covenants hereunder shall be given independent effect so that if a particular action or condition is prohibited by any one of such covenants, the fact that it would be permitted by an exception to, or otherwise be in compliance within the limitations of, another covenant shall not avoid the occurrence of a Default or Event of Default if such action is taken or such condition exists.</w:t>
      </w:r>
    </w:p>
    <w:p>
      <w:pPr>
        <w:spacing w:after="0" w:line="163"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11I. NOTICES. All written communications provided for hereunder (other than communications provided for under paragraph 2) shall be sent by first class mail or nationwide overnight delivery service (with charges prepaid) and (i) if to any Purchaser, addressed as specified for such communications in the Purchaser Schedule attached to the applicable Confirmation of Acceptance (in the case of any Shelf Notes) or at such other address as any such Purchaser shall have specified to the Company in writing, (ii) if to any other holder of any Note, addressed to it at such address as it shall have specified in writing to the Company or, if any such holder shall not have so specified an address, then addressed to such holder in care of the last holder of such Note which shall have so specified an address to the Company and (iii) if to the Company, addressed to it at 2665 South Bayshore Drive, Suite 901, Coconut Grove, Florida 33133, Attention: Barry Logan, telephone 305-714-4102, telecopy 305-858-4492, PROVIDED, HOWEVER, that any such communication to the Company may also, at the option of the Person sending such communication, be delivered by any other means either to the Company at its address specified above or to any Authorized Officer of the Company. Any communication pursuant to paragraph 2 shall be made by the method specified for such communication in paragraph 2, and shall be effective to create any rights or obligations under this Agreement only if, in the case of a telephone communication, an Authorized Officer of the party conveying the information and of the party receiving the information are parties to the telephone call, and in the case of a telecopier communication, the communication is signed by an Authorized Officer of the party conveying the information, addressed to the attention of an Authorized Officer of the party receiving the information, and in fact received at the telecopier terminal the number of which is listed for the party receiving the communication in the Information Schedule or at such other telecopier terminal as the party receiving the information shall have specified in writing to the party sending such information.</w:t>
      </w:r>
    </w:p>
    <w:p>
      <w:pPr>
        <w:spacing w:after="0" w:line="341"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11J. PAYMENTS DUE ON NON-BUSINESS DAYS. Anything in this Agreement or the Notes to the contrary notwithstanding, any payment of principal of or interest on, or Yield-Maintenance Amount payable with respect to, any Note that is due on a date other than a Business Day shall be made on the next succeeding Business Day. If the date for any payment is extended to the next succeeding Business Day by reason of the preceding sentence, the period of such extension shall be included in the computation of the interest payable on such Business Day.</w:t>
      </w:r>
    </w:p>
    <w:p>
      <w:pPr>
        <w:spacing w:after="0" w:line="163"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11K.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ectPr>
          <w:pgSz w:w="11900" w:h="16838" w:orient="portrait"/>
          <w:cols w:equalWidth="0" w:num="1">
            <w:col w:w="10159"/>
          </w:cols>
          <w:pgMar w:left="300" w:top="448" w:right="1440" w:bottom="1440" w:gutter="0" w:footer="0" w:header="0"/>
        </w:sectPr>
      </w:pPr>
    </w:p>
    <w:bookmarkStart w:id="125" w:name="page126"/>
    <w:bookmarkEnd w:id="125"/>
    <w:p>
      <w:pPr>
        <w:jc w:val="right"/>
        <w:ind w:right="3319"/>
        <w:spacing w:after="0"/>
        <w:rPr>
          <w:sz w:val="20"/>
          <w:szCs w:val="20"/>
          <w:color w:val="auto"/>
        </w:rPr>
      </w:pPr>
      <w:r>
        <w:rPr>
          <w:rFonts w:ascii="Courier New" w:cs="Courier New" w:eastAsia="Courier New" w:hAnsi="Courier New"/>
          <w:sz w:val="14"/>
          <w:szCs w:val="14"/>
          <w:color w:val="auto"/>
        </w:rPr>
        <w:t>50</w:t>
      </w:r>
    </w:p>
    <w:p>
      <w:pPr>
        <w:spacing w:after="0" w:line="334" w:lineRule="exact"/>
        <w:rPr>
          <w:sz w:val="20"/>
          <w:szCs w:val="20"/>
          <w:color w:val="auto"/>
        </w:rPr>
      </w:pPr>
    </w:p>
    <w:p>
      <w:pPr>
        <w:ind w:right="3739" w:firstLine="769"/>
        <w:spacing w:after="0" w:line="250" w:lineRule="auto"/>
        <w:rPr>
          <w:sz w:val="20"/>
          <w:szCs w:val="20"/>
          <w:color w:val="auto"/>
        </w:rPr>
      </w:pPr>
      <w:r>
        <w:rPr>
          <w:rFonts w:ascii="Courier New" w:cs="Courier New" w:eastAsia="Courier New" w:hAnsi="Courier New"/>
          <w:sz w:val="14"/>
          <w:szCs w:val="14"/>
          <w:color w:val="auto"/>
        </w:rPr>
        <w:t>11L. DESCRIPTIVE HEADINGS. The descriptive headings of the several paragraphs of this Agreement are inserted for convenience only and do not constitute a part of this Agreement.</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11M. SATISFACTION REQUIREMENT. If any agreement, certificate or other writing, or any action taken or to be taken, is by the terms of this Agreement required to be satisfactory to any Purchaser, to any holder of Notes or to the Required Holder(s), the determination of such satisfaction shall be made by such Purchaser, such holder or the Required Holder(s), as the case may be, in the sole and exclusive judgment (exercised in good faith) of the Person or Persons making such determination.</w:t>
      </w:r>
    </w:p>
    <w:p>
      <w:pPr>
        <w:spacing w:after="0" w:line="163"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11N. GOVERNING LAW; SUBMISSION TO JURISDICTION. This Agreement shall be construed and enforced in accordance with, and the rights of the Parties shall be governed by, the Internal Law of the State of New York. THE COMPANY HEREBY SUBMITS TO THE JURISDICTION OF THE SUPREME COURT OF THE STATE OF NEW YORK LOCATED IN NEW YORK COUNTY, NEW YORK AND THE UNITED STATES DISTRICT COURT FOR THE SOUTHERN DISTRICT OF NEW YORK AND IRREVOCABLY AGREES THAT, SUBJECT TO THE SOLE AND ABSOLUTE ELECTION OF THE REQUIRED HOLDER(S) AND TO THE EXTENT PERMITTED BY APPLICABLE LAW, ALL ACTIONS OR PROCEEDINGS RELATING TO THIS AGREEMENT OR THE NOTES SHALL BE LITIGATED IN SUCH COURTS, AND THE COMPANY WAIVES ANY OBJECTION WHICH IT MAY HAVE BASED ON IMPROPER VENUE OR FORUM NON CONVENIENS TO THE CONDUCT OF ANY PROCEEDING IN ANY SUCH COURTS.</w:t>
      </w:r>
    </w:p>
    <w:p>
      <w:pPr>
        <w:spacing w:after="0" w:line="169"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11O. SEVERALTY OF OBLIGATIONS. The sales of Notes to the Purchasers are to be several sales, and the obligations of Prudential and the Purchasers under this Agreement are several obligations. No failure by Prudential or any Purchaser to perform its obligations under this Agreement shall relieve Prudential, any other Purchaser or the Company of any of its obligations hereunder, and neither Prudential nor any Purchaser shall be responsible for the obligations of, or any action taken or omitted by, any other such Person hereunder.</w:t>
      </w:r>
    </w:p>
    <w:p>
      <w:pPr>
        <w:spacing w:after="0" w:line="327" w:lineRule="exact"/>
        <w:rPr>
          <w:sz w:val="20"/>
          <w:szCs w:val="20"/>
          <w:color w:val="auto"/>
        </w:rPr>
      </w:pPr>
    </w:p>
    <w:p>
      <w:pPr>
        <w:jc w:val="both"/>
        <w:ind w:right="3739" w:firstLine="769"/>
        <w:spacing w:after="0" w:line="250" w:lineRule="auto"/>
        <w:rPr>
          <w:sz w:val="20"/>
          <w:szCs w:val="20"/>
          <w:color w:val="auto"/>
        </w:rPr>
      </w:pPr>
      <w:r>
        <w:rPr>
          <w:rFonts w:ascii="Courier New" w:cs="Courier New" w:eastAsia="Courier New" w:hAnsi="Courier New"/>
          <w:sz w:val="14"/>
          <w:szCs w:val="14"/>
          <w:color w:val="auto"/>
        </w:rPr>
        <w:t>11P. COUNTERPARTS. This Agreement may be executed in any number of counterparts, each of which shall be an original, but all of which together shall constitute one instrument.</w:t>
      </w:r>
    </w:p>
    <w:p>
      <w:pPr>
        <w:sectPr>
          <w:pgSz w:w="11900" w:h="16838" w:orient="portrait"/>
          <w:cols w:equalWidth="0" w:num="1">
            <w:col w:w="10159"/>
          </w:cols>
          <w:pgMar w:left="300" w:top="448" w:right="1440" w:bottom="1440" w:gutter="0" w:footer="0" w:header="0"/>
        </w:sectPr>
      </w:pPr>
    </w:p>
    <w:bookmarkStart w:id="126" w:name="page127"/>
    <w:bookmarkEnd w:id="126"/>
    <w:p>
      <w:pPr>
        <w:jc w:val="right"/>
        <w:ind w:right="3319"/>
        <w:spacing w:after="0"/>
        <w:rPr>
          <w:sz w:val="20"/>
          <w:szCs w:val="20"/>
          <w:color w:val="auto"/>
        </w:rPr>
      </w:pPr>
      <w:r>
        <w:rPr>
          <w:rFonts w:ascii="Courier New" w:cs="Courier New" w:eastAsia="Courier New" w:hAnsi="Courier New"/>
          <w:sz w:val="14"/>
          <w:szCs w:val="14"/>
          <w:color w:val="auto"/>
        </w:rPr>
        <w:t>51</w:t>
      </w:r>
    </w:p>
    <w:p>
      <w:pPr>
        <w:spacing w:after="0" w:line="334"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11Q. BINDING AGREEMENT. When this Agreement is executed and delivered by the Company and Prudential, it shall become a binding agreement between the Company and Prudential. This Agreement shall also inure to the benefit of each Purchaser which shall have executed and delivered a Confirmation of Acceptance, and each such Purchaser shall be bound by this Agreement to the extent provided in such Confirmation of Acceptance.</w:t>
      </w:r>
    </w:p>
    <w:p>
      <w:pPr>
        <w:spacing w:after="0" w:line="16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Very truly yours,</w:t>
      </w:r>
    </w:p>
    <w:p>
      <w:pPr>
        <w:spacing w:after="0" w:line="170"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WATSCO, INC.</w:t>
      </w:r>
    </w:p>
    <w:p>
      <w:pPr>
        <w:spacing w:after="0" w:line="170" w:lineRule="exact"/>
        <w:rPr>
          <w:sz w:val="20"/>
          <w:szCs w:val="20"/>
          <w:color w:val="auto"/>
        </w:rPr>
      </w:pPr>
    </w:p>
    <w:p>
      <w:pPr>
        <w:ind w:left="3680"/>
        <w:spacing w:after="0"/>
        <w:tabs>
          <w:tab w:leader="none" w:pos="4080" w:val="left"/>
        </w:tabs>
        <w:rPr>
          <w:sz w:val="20"/>
          <w:szCs w:val="20"/>
          <w:color w:val="auto"/>
        </w:rPr>
      </w:pPr>
      <w:r>
        <w:rPr>
          <w:rFonts w:ascii="Courier New" w:cs="Courier New" w:eastAsia="Courier New" w:hAnsi="Courier New"/>
          <w:sz w:val="14"/>
          <w:szCs w:val="14"/>
          <w:color w:val="auto"/>
        </w:rPr>
        <w:t>By:</w:t>
        <w:tab/>
        <w:t>/S/ BARRY S. LOGAN</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Name: Barry S. Logan</w:t>
      </w:r>
    </w:p>
    <w:p>
      <w:pPr>
        <w:spacing w:after="0" w:line="6"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Title: Vice President - Finance,</w:t>
      </w:r>
    </w:p>
    <w:p>
      <w:pPr>
        <w:spacing w:after="0" w:line="6"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Chief Financial Officer,</w:t>
      </w:r>
    </w:p>
    <w:p>
      <w:pPr>
        <w:spacing w:after="0" w:line="6"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and Secretary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Agreement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accepted as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first above written.</w:t>
      </w:r>
    </w:p>
    <w:p>
      <w:pPr>
        <w:spacing w:after="0" w:line="170"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4"/>
          <w:szCs w:val="14"/>
          <w:color w:val="auto"/>
        </w:rPr>
        <w:t>THE PRUDENTIAL INSURANCE</w:t>
      </w:r>
    </w:p>
    <w:p>
      <w:pPr>
        <w:spacing w:after="0" w:line="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4"/>
          <w:szCs w:val="14"/>
          <w:color w:val="auto"/>
        </w:rPr>
        <w:t>COMPANY OF AMERICA</w:t>
      </w:r>
    </w:p>
    <w:p>
      <w:pPr>
        <w:spacing w:after="0" w:line="17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CHARLES Y. KING</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Vice President</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Charles Y. King</w:t>
      </w:r>
    </w:p>
    <w:p>
      <w:pPr>
        <w:sectPr>
          <w:pgSz w:w="11900" w:h="16838" w:orient="portrait"/>
          <w:cols w:equalWidth="0" w:num="1">
            <w:col w:w="10159"/>
          </w:cols>
          <w:pgMar w:left="300" w:top="448" w:right="1440" w:bottom="1440" w:gutter="0" w:footer="0" w:header="0"/>
        </w:sectPr>
      </w:pPr>
    </w:p>
    <w:bookmarkStart w:id="127" w:name="page128"/>
    <w:bookmarkEnd w:id="127"/>
    <w:p>
      <w:pPr>
        <w:ind w:left="3080"/>
        <w:spacing w:after="0"/>
        <w:rPr>
          <w:sz w:val="20"/>
          <w:szCs w:val="20"/>
          <w:color w:val="auto"/>
        </w:rPr>
      </w:pPr>
      <w:r>
        <w:rPr>
          <w:rFonts w:ascii="Courier New" w:cs="Courier New" w:eastAsia="Courier New" w:hAnsi="Courier New"/>
          <w:sz w:val="14"/>
          <w:szCs w:val="14"/>
          <w:color w:val="auto"/>
        </w:rPr>
        <w:t>EXHIBIT A</w:t>
      </w:r>
    </w:p>
    <w:p>
      <w:pPr>
        <w:spacing w:after="0" w:line="170"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[FORM OF SHELF NOTE]</w:t>
      </w:r>
    </w:p>
    <w:p>
      <w:pPr>
        <w:spacing w:after="0" w:line="170" w:lineRule="exact"/>
        <w:rPr>
          <w:sz w:val="20"/>
          <w:szCs w:val="20"/>
          <w:color w:val="auto"/>
        </w:rPr>
      </w:pPr>
    </w:p>
    <w:p>
      <w:pPr>
        <w:ind w:left="780" w:right="3399"/>
        <w:spacing w:after="0" w:line="251" w:lineRule="auto"/>
        <w:rPr>
          <w:sz w:val="20"/>
          <w:szCs w:val="20"/>
          <w:color w:val="auto"/>
        </w:rPr>
      </w:pPr>
      <w:r>
        <w:rPr>
          <w:rFonts w:ascii="Courier New" w:cs="Courier New" w:eastAsia="Courier New" w:hAnsi="Courier New"/>
          <w:sz w:val="14"/>
          <w:szCs w:val="14"/>
          <w:color w:val="auto"/>
        </w:rPr>
        <w:t>THIS NOTE HAS NOT BEEN REGISTERED UNDER THE SECURITIES ACT OF 1933 AND MAY NOT BE OFFERED OR SOLD IN VIOLATION OF SUCH ACT.</w:t>
      </w:r>
    </w:p>
    <w:p>
      <w:pPr>
        <w:spacing w:after="0" w:line="16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WATSCO, INC.</w:t>
      </w:r>
    </w:p>
    <w:p>
      <w:pPr>
        <w:spacing w:after="0" w:line="170"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SENIOR SERIES ___ NOTE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PRINCIPAL AMOUNT: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ISSUE DATE: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PAYMENT DATES: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FINAL MATURITY DATE: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PREPAYMENT DATES AND AMOUNTS:</w:t>
      </w:r>
    </w:p>
    <w:p>
      <w:pPr>
        <w:spacing w:after="0" w:line="200" w:lineRule="exact"/>
        <w:rPr>
          <w:sz w:val="20"/>
          <w:szCs w:val="20"/>
          <w:color w:val="auto"/>
        </w:rPr>
      </w:pPr>
    </w:p>
    <w:p>
      <w:pPr>
        <w:spacing w:after="0" w:line="299" w:lineRule="exact"/>
        <w:rPr>
          <w:sz w:val="20"/>
          <w:szCs w:val="20"/>
          <w:color w:val="auto"/>
        </w:rPr>
      </w:pPr>
    </w:p>
    <w:p>
      <w:pPr>
        <w:ind w:right="3399" w:firstLine="769"/>
        <w:spacing w:after="0" w:line="248" w:lineRule="auto"/>
        <w:rPr>
          <w:sz w:val="20"/>
          <w:szCs w:val="20"/>
          <w:color w:val="auto"/>
        </w:rPr>
      </w:pPr>
      <w:r>
        <w:rPr>
          <w:rFonts w:ascii="Courier New" w:cs="Courier New" w:eastAsia="Courier New" w:hAnsi="Courier New"/>
          <w:sz w:val="14"/>
          <w:szCs w:val="14"/>
          <w:color w:val="auto"/>
        </w:rPr>
        <w:t>FOR VALUE RECEIVED, the undersigned, WATSCO, INC. (herein called the "COMPANY"), a corporation organized and existing under the laws of the State of Florida, hereby promises to pay to ________________________, or registered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assigns, the principal sum of _______________________ DOLLARS [on the Final</w:t>
      </w:r>
    </w:p>
    <w:p>
      <w:pPr>
        <w:spacing w:after="0" w:line="6"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4"/>
          <w:szCs w:val="14"/>
          <w:color w:val="auto"/>
        </w:rPr>
        <w:t>Maturity Date specified above] [, payable on the Principal Prepayment Dates and in the amounts specified above, and on the Final Maturity Date specified above in an amount equal to the unpaid balance of the principal hereof,] with interest (computed on the basis of a 360-day year--30-day month) (a) on the unpaid balance thereof at the Interest Rate per annum specified above, payable on each Interest Payment Date specified above and on the Final Maturity Date specified above, commencing with the Interest Payment Date next succeeding the date hereof, until the principal hereof shall have become due and payable, and (b) on any overdue payment (including any overdue prepayment) of principal, any overdue payment of Yield Maintenance Amount and any overdue payment of interest, payable on each Interest Payment Date as aforesaid (or, at the option of the registered holder hereof, on demand), at a rate per annum from time to time equal to the greater of (i) 2% over the Interest Rate specified above or (ii) 2% over the rate of interest publicly announced by Morgan Guaranty Trust Company of New York from time to time in New York City as its Prime Rate.</w:t>
      </w:r>
    </w:p>
    <w:p>
      <w:pPr>
        <w:spacing w:after="0" w:line="171"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Payments of principal, Yield Maintenance Amount, if any, and interest are to be made at the main office of Morgan Guaranty Trust Company of New York in New York City or at such other place as the holder hereof shall designate to the Company in writing, in lawful money of the United States of America.</w:t>
      </w:r>
    </w:p>
    <w:p>
      <w:pPr>
        <w:sectPr>
          <w:pgSz w:w="11900" w:h="16838" w:orient="portrait"/>
          <w:cols w:equalWidth="0" w:num="1">
            <w:col w:w="10159"/>
          </w:cols>
          <w:pgMar w:left="300" w:top="612" w:right="1440" w:bottom="1440" w:gutter="0" w:footer="0" w:header="0"/>
        </w:sectPr>
      </w:pPr>
    </w:p>
    <w:bookmarkStart w:id="128" w:name="page129"/>
    <w:bookmarkEnd w:id="128"/>
    <w:p>
      <w:pPr>
        <w:ind w:right="3399" w:firstLine="769"/>
        <w:spacing w:after="0" w:line="249" w:lineRule="auto"/>
        <w:rPr>
          <w:sz w:val="20"/>
          <w:szCs w:val="20"/>
          <w:color w:val="auto"/>
        </w:rPr>
      </w:pPr>
      <w:r>
        <w:rPr>
          <w:rFonts w:ascii="Courier New" w:cs="Courier New" w:eastAsia="Courier New" w:hAnsi="Courier New"/>
          <w:sz w:val="14"/>
          <w:szCs w:val="14"/>
          <w:color w:val="auto"/>
        </w:rPr>
        <w:t>This Note is one of a series of Senior Notes (herein called the "NOTES") issued pursuant to a Note Purchase and Private Shelf Agreement, dated as of January __, 2000 (herein called the "AGREEMENT"), between the Company and The Prudential Insurance Company of America and each Prudential Affiliate (as defined in the Agreement) which becomes party thereto and is entitled to the benefits thereof.</w:t>
      </w:r>
    </w:p>
    <w:p>
      <w:pPr>
        <w:spacing w:after="0" w:line="163"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[This Note is subject to optional prepayment, in whole or from time to time in part, on the terms specified in the Agreement.]</w:t>
      </w:r>
    </w:p>
    <w:p>
      <w:pPr>
        <w:spacing w:after="0" w:line="161"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This Note is a registered Note and, as provided in the Agreement, upon surrender of this Note for registration of transfer, duly endorsed, or accompanied by a written instrument of transfer duly executed, by the registered holder hereof or such holder's attorney duly authorized in writing, a new Note for the then outstanding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shall not be affected by any notice to the contrary.</w:t>
      </w:r>
    </w:p>
    <w:p>
      <w:pPr>
        <w:spacing w:after="0" w:line="162" w:lineRule="exact"/>
        <w:rPr>
          <w:sz w:val="20"/>
          <w:szCs w:val="20"/>
          <w:color w:val="auto"/>
        </w:rPr>
      </w:pPr>
    </w:p>
    <w:p>
      <w:pPr>
        <w:ind w:right="3579" w:firstLine="769"/>
        <w:spacing w:after="0" w:line="250" w:lineRule="auto"/>
        <w:rPr>
          <w:sz w:val="20"/>
          <w:szCs w:val="20"/>
          <w:color w:val="auto"/>
        </w:rPr>
      </w:pPr>
      <w:r>
        <w:rPr>
          <w:rFonts w:ascii="Courier New" w:cs="Courier New" w:eastAsia="Courier New" w:hAnsi="Courier New"/>
          <w:sz w:val="14"/>
          <w:szCs w:val="14"/>
          <w:color w:val="auto"/>
        </w:rPr>
        <w:t>In case an Event of Default shall occur and be continuing, the principal of this Note may be declared or otherwise become due and payable in the manner and with the effect provided in the Agreement.</w:t>
      </w:r>
    </w:p>
    <w:p>
      <w:pPr>
        <w:spacing w:after="0" w:line="162"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The Company and any and all endorsers, guarantors and sureties severally waive demand, presentment for payment, notice of dishonor or default, notice of intent to accelerate, notice of acceleration (to the extent set forth in the Agreement), protest and diligence in collecting.</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Should any debt represented by this Note be collected at law or in equity, or in bankruptcy or other proceedings, or should this Note be placed in the hands of attorneys for collection, the Company agrees to pay, in addition to the principal, Yield-Maintenance Amount, if any, and interest due and payable hereon, all costs of collecting or attempting to collect this Note, including attorneys' fees and expenses (including those incurred in connection with any appeal).</w:t>
      </w:r>
    </w:p>
    <w:p>
      <w:pPr>
        <w:spacing w:after="0" w:line="163" w:lineRule="exact"/>
        <w:rPr>
          <w:sz w:val="20"/>
          <w:szCs w:val="20"/>
          <w:color w:val="auto"/>
        </w:rPr>
      </w:pPr>
    </w:p>
    <w:p>
      <w:pPr>
        <w:ind w:right="3399" w:firstLine="769"/>
        <w:spacing w:after="0" w:line="251" w:lineRule="auto"/>
        <w:rPr>
          <w:sz w:val="20"/>
          <w:szCs w:val="20"/>
          <w:color w:val="auto"/>
        </w:rPr>
      </w:pPr>
      <w:r>
        <w:rPr>
          <w:rFonts w:ascii="Courier New" w:cs="Courier New" w:eastAsia="Courier New" w:hAnsi="Courier New"/>
          <w:sz w:val="14"/>
          <w:szCs w:val="14"/>
          <w:color w:val="auto"/>
        </w:rPr>
        <w:t>Capitalized terms used and not otherwise defined herein shall have the meanings (if any) provided in the Agreement.</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159"/>
          </w:cols>
          <w:pgMar w:left="300" w:top="612" w:right="1440" w:bottom="1440" w:gutter="0" w:footer="0" w:header="0"/>
        </w:sectPr>
      </w:pPr>
    </w:p>
    <w:bookmarkStart w:id="129" w:name="page130"/>
    <w:bookmarkEnd w:id="129"/>
    <w:p>
      <w:pPr>
        <w:ind w:right="3319" w:firstLine="769"/>
        <w:spacing w:after="0" w:line="249" w:lineRule="auto"/>
        <w:rPr>
          <w:sz w:val="20"/>
          <w:szCs w:val="20"/>
          <w:color w:val="auto"/>
        </w:rPr>
      </w:pPr>
      <w:r>
        <w:rPr>
          <w:rFonts w:ascii="Courier New" w:cs="Courier New" w:eastAsia="Courier New" w:hAnsi="Courier New"/>
          <w:sz w:val="14"/>
          <w:szCs w:val="14"/>
          <w:color w:val="auto"/>
        </w:rPr>
        <w:t>This Note is intended to be performed in the State of New York and shall be construed and enforced in accordance with the internal law of such State. AS PROVIDED IN PARAGRAPH 11N OF THE AGREEMENT, THE COMPANY SUBMITS TO THE JURISDICTION OF THE SUPREME COURT OF THE STATE OF NEW YORK LOCATED IN NEW YORK COUNTY, NEW YORK AND THE UNITED STATES DISTRICT COURT FOR THE SOUTHERN DISTRICT OF NEW YORK IN ANY ACTION OR PROCEEDING RELATING TO THIS NOTE.</w:t>
      </w:r>
    </w:p>
    <w:p>
      <w:pPr>
        <w:spacing w:after="0" w:line="163"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WATSCO, INC.</w:t>
      </w:r>
    </w:p>
    <w:p>
      <w:pPr>
        <w:spacing w:after="0" w:line="170"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6"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Title:</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159"/>
          </w:cols>
          <w:pgMar w:left="300" w:top="941" w:right="1440" w:bottom="1440" w:gutter="0" w:footer="0" w:header="0"/>
        </w:sectPr>
      </w:pPr>
    </w:p>
    <w:bookmarkStart w:id="130" w:name="page131"/>
    <w:bookmarkEnd w:id="130"/>
    <w:p>
      <w:pPr>
        <w:jc w:val="center"/>
        <w:ind w:right="3239"/>
        <w:spacing w:after="0"/>
        <w:rPr>
          <w:sz w:val="20"/>
          <w:szCs w:val="20"/>
          <w:color w:val="auto"/>
        </w:rPr>
      </w:pPr>
      <w:r>
        <w:rPr>
          <w:rFonts w:ascii="Courier New" w:cs="Courier New" w:eastAsia="Courier New" w:hAnsi="Courier New"/>
          <w:sz w:val="14"/>
          <w:szCs w:val="14"/>
          <w:color w:val="auto"/>
        </w:rPr>
        <w:t>EXHIBIT B</w:t>
      </w:r>
    </w:p>
    <w:p>
      <w:pPr>
        <w:spacing w:after="0" w:line="170"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[FORM OF REQUEST FOR PURCHASE]</w:t>
      </w:r>
    </w:p>
    <w:p>
      <w:pPr>
        <w:spacing w:after="0" w:line="33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WATSCO, INC.</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Reference is made to the Note Purchase and Private Shelf Agreement (the "AGREEMENT"), dated as of January __, 2000 between Watsco, Inc. (the "COMPANY") and The Prudential Insurance Company of America ("PRUDENTIAL") and each Prudential Affiliate which becomes party thereto. Capitalized terms used and not otherwise defined herein shall have the respective meanings specified in the Agreement.</w:t>
      </w:r>
    </w:p>
    <w:p>
      <w:pPr>
        <w:spacing w:after="0" w:line="163" w:lineRule="exact"/>
        <w:rPr>
          <w:sz w:val="20"/>
          <w:szCs w:val="20"/>
          <w:color w:val="auto"/>
        </w:rPr>
      </w:pPr>
    </w:p>
    <w:p>
      <w:pPr>
        <w:ind w:right="3319" w:firstLine="769"/>
        <w:spacing w:after="0" w:line="251" w:lineRule="auto"/>
        <w:rPr>
          <w:sz w:val="20"/>
          <w:szCs w:val="20"/>
          <w:color w:val="auto"/>
        </w:rPr>
      </w:pPr>
      <w:r>
        <w:rPr>
          <w:rFonts w:ascii="Courier New" w:cs="Courier New" w:eastAsia="Courier New" w:hAnsi="Courier New"/>
          <w:sz w:val="14"/>
          <w:szCs w:val="14"/>
          <w:color w:val="auto"/>
        </w:rPr>
        <w:t>Pursuant to Paragraph 2C of the Agreement, the Company hereby makes the following Request for Purchase:</w:t>
      </w:r>
    </w:p>
    <w:p>
      <w:pPr>
        <w:spacing w:after="0" w:line="200" w:lineRule="exact"/>
        <w:rPr>
          <w:sz w:val="20"/>
          <w:szCs w:val="20"/>
          <w:color w:val="auto"/>
        </w:rPr>
      </w:pPr>
    </w:p>
    <w:p>
      <w:pPr>
        <w:spacing w:after="0" w:line="290" w:lineRule="exact"/>
        <w:rPr>
          <w:sz w:val="20"/>
          <w:szCs w:val="20"/>
          <w:color w:val="auto"/>
        </w:rPr>
      </w:pPr>
    </w:p>
    <w:p>
      <w:pPr>
        <w:ind w:left="1540" w:right="6059" w:hanging="763"/>
        <w:spacing w:after="0" w:line="250" w:lineRule="auto"/>
        <w:tabs>
          <w:tab w:leader="none" w:pos="15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principal amount of the Notes covered hereby (the "NOTES") ............ $</w:t>
      </w:r>
    </w:p>
    <w:p>
      <w:pPr>
        <w:spacing w:after="0" w:line="326" w:lineRule="exact"/>
        <w:rPr>
          <w:rFonts w:ascii="Courier New" w:cs="Courier New" w:eastAsia="Courier New" w:hAnsi="Courier New"/>
          <w:sz w:val="14"/>
          <w:szCs w:val="14"/>
          <w:color w:val="auto"/>
        </w:rPr>
      </w:pPr>
    </w:p>
    <w:p>
      <w:pPr>
        <w:ind w:left="1540" w:hanging="763"/>
        <w:spacing w:after="0"/>
        <w:tabs>
          <w:tab w:leader="none" w:pos="15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specifications of the Notes:</w:t>
      </w:r>
    </w:p>
    <w:p>
      <w:pPr>
        <w:spacing w:after="0" w:line="170"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158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Final Maturity</w:t>
            </w:r>
          </w:p>
        </w:tc>
        <w:tc>
          <w:tcPr>
            <w:tcW w:w="2740" w:type="dxa"/>
            <w:vAlign w:val="bottom"/>
          </w:tcPr>
          <w:p>
            <w:pPr>
              <w:ind w:left="220"/>
              <w:spacing w:after="0"/>
              <w:rPr>
                <w:sz w:val="20"/>
                <w:szCs w:val="20"/>
                <w:color w:val="auto"/>
              </w:rPr>
            </w:pPr>
            <w:r>
              <w:rPr>
                <w:rFonts w:ascii="Courier New" w:cs="Courier New" w:eastAsia="Courier New" w:hAnsi="Courier New"/>
                <w:sz w:val="14"/>
                <w:szCs w:val="14"/>
                <w:color w:val="auto"/>
              </w:rPr>
              <w:t>Principal Prepayment</w:t>
            </w:r>
          </w:p>
        </w:tc>
        <w:tc>
          <w:tcPr>
            <w:tcW w:w="2080" w:type="dxa"/>
            <w:vAlign w:val="bottom"/>
          </w:tcPr>
          <w:p>
            <w:pPr>
              <w:ind w:left="200"/>
              <w:spacing w:after="0"/>
              <w:rPr>
                <w:sz w:val="20"/>
                <w:szCs w:val="20"/>
                <w:color w:val="auto"/>
              </w:rPr>
            </w:pPr>
            <w:r>
              <w:rPr>
                <w:rFonts w:ascii="Courier New" w:cs="Courier New" w:eastAsia="Courier New" w:hAnsi="Courier New"/>
                <w:sz w:val="14"/>
                <w:szCs w:val="14"/>
                <w:color w:val="auto"/>
              </w:rPr>
              <w:t>Interest Payment</w:t>
            </w:r>
          </w:p>
        </w:tc>
      </w:tr>
      <w:tr>
        <w:trPr>
          <w:trHeight w:val="164"/>
        </w:trPr>
        <w:tc>
          <w:tcPr>
            <w:tcW w:w="1580" w:type="dxa"/>
            <w:vAlign w:val="bottom"/>
          </w:tcPr>
          <w:p>
            <w:pPr>
              <w:spacing w:after="0"/>
              <w:rPr>
                <w:sz w:val="20"/>
                <w:szCs w:val="20"/>
                <w:color w:val="auto"/>
              </w:rPr>
            </w:pPr>
            <w:r>
              <w:rPr>
                <w:rFonts w:ascii="Courier New" w:cs="Courier New" w:eastAsia="Courier New" w:hAnsi="Courier New"/>
                <w:sz w:val="14"/>
                <w:szCs w:val="14"/>
                <w:color w:val="auto"/>
              </w:rPr>
              <w:t>Amount(1)</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Date</w:t>
            </w:r>
          </w:p>
        </w:tc>
        <w:tc>
          <w:tcPr>
            <w:tcW w:w="2740" w:type="dxa"/>
            <w:vAlign w:val="bottom"/>
          </w:tcPr>
          <w:p>
            <w:pPr>
              <w:ind w:left="220"/>
              <w:spacing w:after="0"/>
              <w:rPr>
                <w:sz w:val="20"/>
                <w:szCs w:val="20"/>
                <w:color w:val="auto"/>
              </w:rPr>
            </w:pPr>
            <w:r>
              <w:rPr>
                <w:rFonts w:ascii="Courier New" w:cs="Courier New" w:eastAsia="Courier New" w:hAnsi="Courier New"/>
                <w:sz w:val="14"/>
                <w:szCs w:val="14"/>
                <w:color w:val="auto"/>
              </w:rPr>
              <w:t>Dates and Amounts</w:t>
            </w:r>
          </w:p>
        </w:tc>
        <w:tc>
          <w:tcPr>
            <w:tcW w:w="2080" w:type="dxa"/>
            <w:vAlign w:val="bottom"/>
          </w:tcPr>
          <w:p>
            <w:pPr>
              <w:ind w:left="200"/>
              <w:spacing w:after="0"/>
              <w:rPr>
                <w:sz w:val="20"/>
                <w:szCs w:val="20"/>
                <w:color w:val="auto"/>
              </w:rPr>
            </w:pPr>
            <w:r>
              <w:rPr>
                <w:rFonts w:ascii="Courier New" w:cs="Courier New" w:eastAsia="Courier New" w:hAnsi="Courier New"/>
                <w:sz w:val="14"/>
                <w:szCs w:val="14"/>
                <w:color w:val="auto"/>
              </w:rPr>
              <w:t>Period(2)</w:t>
            </w:r>
          </w:p>
        </w:tc>
      </w:tr>
      <w:tr>
        <w:trPr>
          <w:trHeight w:val="164"/>
        </w:trPr>
        <w:tc>
          <w:tcPr>
            <w:tcW w:w="15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ind w:left="1540" w:hanging="763"/>
        <w:spacing w:after="0"/>
        <w:tabs>
          <w:tab w:leader="none" w:pos="1540"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of the Notes:</w:t>
      </w:r>
    </w:p>
    <w:p>
      <w:pPr>
        <w:spacing w:after="0" w:line="170" w:lineRule="exact"/>
        <w:rPr>
          <w:rFonts w:ascii="Courier New" w:cs="Courier New" w:eastAsia="Courier New" w:hAnsi="Courier New"/>
          <w:sz w:val="14"/>
          <w:szCs w:val="14"/>
          <w:color w:val="auto"/>
        </w:rPr>
      </w:pPr>
    </w:p>
    <w:p>
      <w:pPr>
        <w:ind w:left="1540" w:hanging="763"/>
        <w:spacing w:after="0"/>
        <w:tabs>
          <w:tab w:leader="none" w:pos="1540"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day for the closing of the purchase and sale of the Notes: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440" w:hanging="432"/>
        <w:spacing w:after="0"/>
        <w:tabs>
          <w:tab w:leader="none" w:pos="4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principal amount of $10,000,000.</w:t>
      </w:r>
    </w:p>
    <w:p>
      <w:pPr>
        <w:spacing w:after="0" w:line="170"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quarterly or semi-annually.</w:t>
      </w:r>
    </w:p>
    <w:p>
      <w:pPr>
        <w:sectPr>
          <w:pgSz w:w="11900" w:h="16838" w:orient="portrait"/>
          <w:cols w:equalWidth="0" w:num="1">
            <w:col w:w="10159"/>
          </w:cols>
          <w:pgMar w:left="300" w:top="777" w:right="1440" w:bottom="1440" w:gutter="0" w:footer="0" w:header="0"/>
        </w:sectPr>
      </w:pPr>
    </w:p>
    <w:bookmarkStart w:id="131" w:name="page132"/>
    <w:bookmarkEnd w:id="131"/>
    <w:p>
      <w:pPr>
        <w:ind w:left="1540" w:hanging="763"/>
        <w:spacing w:after="0"/>
        <w:tabs>
          <w:tab w:leader="none" w:pos="154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of the Notes is to be transferred to:</w:t>
      </w:r>
    </w:p>
    <w:p>
      <w:pPr>
        <w:sectPr>
          <w:pgSz w:w="11900" w:h="16838" w:orient="portrait"/>
          <w:cols w:equalWidth="0" w:num="1">
            <w:col w:w="10159"/>
          </w:cols>
          <w:pgMar w:left="300" w:top="941" w:right="1440" w:bottom="1440" w:gutter="0" w:footer="0" w:header="0"/>
        </w:sectPr>
      </w:pP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Name, Address</w:t>
      </w:r>
    </w:p>
    <w:p>
      <w:pPr>
        <w:spacing w:after="0" w:line="6"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and ABA Routing</w:t>
      </w:r>
    </w:p>
    <w:p>
      <w:pPr>
        <w:spacing w:after="0" w:line="6"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Number of Bank</w:t>
      </w:r>
    </w:p>
    <w:p>
      <w:pPr>
        <w:spacing w:after="0" w:line="6"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040" w:space="360"/>
            <w:col w:w="4759"/>
          </w:cols>
          <w:pgMar w:left="300" w:top="941" w:right="1440" w:bottom="1440" w:gutter="0" w:footer="0" w:header="0"/>
          <w:type w:val="continuous"/>
        </w:sectPr>
      </w:pPr>
    </w:p>
    <w:p>
      <w:pPr>
        <w:spacing w:after="0" w:line="299" w:lineRule="exact"/>
        <w:rPr>
          <w:sz w:val="20"/>
          <w:szCs w:val="20"/>
          <w:color w:val="auto"/>
        </w:rPr>
      </w:pPr>
    </w:p>
    <w:p>
      <w:pPr>
        <w:ind w:left="1540" w:hanging="763"/>
        <w:spacing w:after="0"/>
        <w:tabs>
          <w:tab w:leader="none" w:pos="154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set forth in Exhibit A attached hereto, the Company certifies that:</w:t>
      </w:r>
    </w:p>
    <w:p>
      <w:pPr>
        <w:spacing w:after="0" w:line="170" w:lineRule="exact"/>
        <w:rPr>
          <w:rFonts w:ascii="Courier New" w:cs="Courier New" w:eastAsia="Courier New" w:hAnsi="Courier New"/>
          <w:sz w:val="14"/>
          <w:szCs w:val="14"/>
          <w:color w:val="auto"/>
        </w:rPr>
      </w:pPr>
    </w:p>
    <w:p>
      <w:pPr>
        <w:ind w:left="2320" w:right="3479" w:hanging="774"/>
        <w:spacing w:after="0" w:line="249" w:lineRule="auto"/>
        <w:tabs>
          <w:tab w:leader="none" w:pos="2320"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paragraph 8 of the Agreement are true on and as of the date of this Request for Purchase except to the extent of changes caused by the transactions contemplated in the Agreement; and</w:t>
      </w:r>
    </w:p>
    <w:p>
      <w:pPr>
        <w:spacing w:after="0" w:line="163" w:lineRule="exact"/>
        <w:rPr>
          <w:rFonts w:ascii="Courier New" w:cs="Courier New" w:eastAsia="Courier New" w:hAnsi="Courier New"/>
          <w:sz w:val="14"/>
          <w:szCs w:val="14"/>
          <w:color w:val="auto"/>
        </w:rPr>
      </w:pPr>
    </w:p>
    <w:p>
      <w:pPr>
        <w:ind w:left="2320" w:right="3319" w:hanging="774"/>
        <w:spacing w:after="0" w:line="251" w:lineRule="auto"/>
        <w:tabs>
          <w:tab w:leader="none" w:pos="2320"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exists on the date of this Request for Purchase no Event of Default or Default.</w:t>
      </w:r>
    </w:p>
    <w:p>
      <w:pPr>
        <w:spacing w:after="0" w:line="161" w:lineRule="exact"/>
        <w:rPr>
          <w:rFonts w:ascii="Courier New" w:cs="Courier New" w:eastAsia="Courier New" w:hAnsi="Courier New"/>
          <w:sz w:val="14"/>
          <w:szCs w:val="14"/>
          <w:color w:val="auto"/>
        </w:rPr>
      </w:pPr>
    </w:p>
    <w:p>
      <w:pPr>
        <w:ind w:left="1540" w:right="3399" w:hanging="763"/>
        <w:spacing w:after="0" w:line="251" w:lineRule="auto"/>
        <w:tabs>
          <w:tab w:leader="none" w:pos="154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Fee to be paid pursuant to the Agreement will be paid by the Company on the closing date.</w:t>
      </w:r>
    </w:p>
    <w:p>
      <w:pPr>
        <w:sectPr>
          <w:pgSz w:w="11900" w:h="16838" w:orient="portrait"/>
          <w:cols w:equalWidth="0" w:num="1">
            <w:col w:w="10159"/>
          </w:cols>
          <w:pgMar w:left="300" w:top="94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WATSCO, INC.</w:t>
      </w:r>
    </w:p>
    <w:p>
      <w:pPr>
        <w:spacing w:after="0" w:line="200" w:lineRule="exact"/>
        <w:rPr>
          <w:sz w:val="20"/>
          <w:szCs w:val="20"/>
          <w:color w:val="auto"/>
        </w:rPr>
      </w:pPr>
    </w:p>
    <w:p>
      <w:pPr>
        <w:sectPr>
          <w:pgSz w:w="11900" w:h="16838" w:orient="portrait"/>
          <w:cols w:equalWidth="0" w:num="2">
            <w:col w:w="3040" w:space="720"/>
            <w:col w:w="6399"/>
          </w:cols>
          <w:pgMar w:left="300" w:top="941" w:right="1440" w:bottom="1440" w:gutter="0" w:footer="0" w:header="0"/>
          <w:type w:val="continuous"/>
        </w:sectPr>
      </w:pPr>
    </w:p>
    <w:p>
      <w:pPr>
        <w:spacing w:after="0" w:line="299"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 ________________________________</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Authorized Officer</w:t>
      </w: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159"/>
          </w:cols>
          <w:pgMar w:left="300" w:top="941" w:right="1440" w:bottom="1440" w:gutter="0" w:footer="0" w:header="0"/>
          <w:type w:val="continuous"/>
        </w:sectPr>
      </w:pPr>
    </w:p>
    <w:bookmarkStart w:id="132" w:name="page133"/>
    <w:bookmarkEnd w:id="132"/>
    <w:p>
      <w:pPr>
        <w:jc w:val="center"/>
        <w:ind w:right="3219"/>
        <w:spacing w:after="0"/>
        <w:rPr>
          <w:sz w:val="20"/>
          <w:szCs w:val="20"/>
          <w:color w:val="auto"/>
        </w:rPr>
      </w:pPr>
      <w:r>
        <w:rPr>
          <w:rFonts w:ascii="Courier New" w:cs="Courier New" w:eastAsia="Courier New" w:hAnsi="Courier New"/>
          <w:sz w:val="14"/>
          <w:szCs w:val="14"/>
          <w:color w:val="auto"/>
        </w:rPr>
        <w:t>EXHIBIT C</w:t>
      </w:r>
    </w:p>
    <w:p>
      <w:pPr>
        <w:spacing w:after="0" w:line="170"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[FORM OF CONFIRMATION OF ACCEPTANCE]</w:t>
      </w:r>
    </w:p>
    <w:p>
      <w:pPr>
        <w:spacing w:after="0" w:line="33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WATSCO, INC.</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Reference is made to the Note Purchase and Private Shelf Agreement (the "AGREEMENT"), dated as of January __, 2000 between Watsco, Inc. (the "COMPANY") and The Prudential Insurance Company of America ("PRUDENTIAL") and each Prudential Affiliate which becomes party thereto. All terms used herein that are defined in the Agreement have the respective meanings specified in the Agreement.</w:t>
      </w:r>
    </w:p>
    <w:p>
      <w:pPr>
        <w:spacing w:after="0" w:line="328"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Prudential or the Prudential Affiliate which is named below as a Purchaser of Notes hereby confirms the representations as to such Notes set forth in paragraph 9 of the Agreement, and agrees to be bound by the provisions of paragraphs 2F and 2H of the Agreement relating to the purchase and sale of such Notes and by the provisions of the penultimate sentence of paragraph 11A of the Agreement.</w:t>
      </w:r>
    </w:p>
    <w:p>
      <w:pPr>
        <w:spacing w:after="0" w:line="163" w:lineRule="exact"/>
        <w:rPr>
          <w:sz w:val="20"/>
          <w:szCs w:val="20"/>
          <w:color w:val="auto"/>
        </w:rPr>
      </w:pPr>
    </w:p>
    <w:p>
      <w:pPr>
        <w:ind w:right="3479" w:firstLine="769"/>
        <w:spacing w:after="0" w:line="251" w:lineRule="auto"/>
        <w:rPr>
          <w:sz w:val="20"/>
          <w:szCs w:val="20"/>
          <w:color w:val="auto"/>
        </w:rPr>
      </w:pPr>
      <w:r>
        <w:rPr>
          <w:rFonts w:ascii="Courier New" w:cs="Courier New" w:eastAsia="Courier New" w:hAnsi="Courier New"/>
          <w:sz w:val="14"/>
          <w:szCs w:val="14"/>
          <w:color w:val="auto"/>
        </w:rPr>
        <w:t>Pursuant to paragraph 2F of the Agreement, an Acceptance with respect to the following Accepted Notes is hereby confirmed:</w:t>
      </w:r>
    </w:p>
    <w:p>
      <w:pPr>
        <w:spacing w:after="0" w:line="161" w:lineRule="exact"/>
        <w:rPr>
          <w:sz w:val="20"/>
          <w:szCs w:val="20"/>
          <w:color w:val="auto"/>
        </w:rPr>
      </w:pPr>
    </w:p>
    <w:p>
      <w:pPr>
        <w:ind w:left="780" w:right="6299" w:hanging="772"/>
        <w:spacing w:after="0" w:line="251" w:lineRule="auto"/>
        <w:tabs>
          <w:tab w:leader="none" w:pos="7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Accepted Notes: Aggregate principal amount $__________________</w:t>
      </w:r>
    </w:p>
    <w:p>
      <w:pPr>
        <w:spacing w:after="0" w:line="161" w:lineRule="exact"/>
        <w:rPr>
          <w:rFonts w:ascii="Courier New" w:cs="Courier New" w:eastAsia="Courier New" w:hAnsi="Courier New"/>
          <w:sz w:val="14"/>
          <w:szCs w:val="14"/>
          <w:color w:val="auto"/>
        </w:rPr>
      </w:pPr>
    </w:p>
    <w:p>
      <w:pPr>
        <w:ind w:left="1200" w:hanging="423"/>
        <w:spacing w:after="0"/>
        <w:tabs>
          <w:tab w:leader="none" w:pos="1200"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Name of Purchaser:</w:t>
      </w:r>
    </w:p>
    <w:p>
      <w:pPr>
        <w:spacing w:after="0" w:line="5" w:lineRule="exact"/>
        <w:rPr>
          <w:rFonts w:ascii="Courier New" w:cs="Courier New" w:eastAsia="Courier New" w:hAnsi="Courier New"/>
          <w:sz w:val="14"/>
          <w:szCs w:val="14"/>
          <w:color w:val="auto"/>
        </w:rPr>
      </w:pPr>
    </w:p>
    <w:p>
      <w:pPr>
        <w:ind w:left="1640" w:hanging="436"/>
        <w:spacing w:after="0"/>
        <w:tabs>
          <w:tab w:leader="none" w:pos="1640"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amount:</w:t>
      </w:r>
    </w:p>
    <w:p>
      <w:pPr>
        <w:spacing w:after="0" w:line="5" w:lineRule="exact"/>
        <w:rPr>
          <w:rFonts w:ascii="Courier New" w:cs="Courier New" w:eastAsia="Courier New" w:hAnsi="Courier New"/>
          <w:sz w:val="14"/>
          <w:szCs w:val="14"/>
          <w:color w:val="auto"/>
        </w:rPr>
      </w:pPr>
    </w:p>
    <w:p>
      <w:pPr>
        <w:ind w:left="1640" w:hanging="436"/>
        <w:spacing w:after="0"/>
        <w:tabs>
          <w:tab w:leader="none" w:pos="1640"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maturity date:</w:t>
      </w:r>
    </w:p>
    <w:p>
      <w:pPr>
        <w:spacing w:after="0" w:line="5" w:lineRule="exact"/>
        <w:rPr>
          <w:rFonts w:ascii="Courier New" w:cs="Courier New" w:eastAsia="Courier New" w:hAnsi="Courier New"/>
          <w:sz w:val="14"/>
          <w:szCs w:val="14"/>
          <w:color w:val="auto"/>
        </w:rPr>
      </w:pPr>
    </w:p>
    <w:p>
      <w:pPr>
        <w:ind w:left="1640" w:hanging="436"/>
        <w:spacing w:after="0"/>
        <w:tabs>
          <w:tab w:leader="none" w:pos="1640"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prepayment dates and amounts:</w:t>
      </w:r>
    </w:p>
    <w:p>
      <w:pPr>
        <w:spacing w:after="0" w:line="5" w:lineRule="exact"/>
        <w:rPr>
          <w:rFonts w:ascii="Courier New" w:cs="Courier New" w:eastAsia="Courier New" w:hAnsi="Courier New"/>
          <w:sz w:val="14"/>
          <w:szCs w:val="14"/>
          <w:color w:val="auto"/>
        </w:rPr>
      </w:pPr>
    </w:p>
    <w:p>
      <w:pPr>
        <w:ind w:left="1640" w:hanging="436"/>
        <w:spacing w:after="0"/>
        <w:tabs>
          <w:tab w:leader="none" w:pos="1640"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w:t>
      </w:r>
    </w:p>
    <w:p>
      <w:pPr>
        <w:spacing w:after="0" w:line="5" w:lineRule="exact"/>
        <w:rPr>
          <w:rFonts w:ascii="Courier New" w:cs="Courier New" w:eastAsia="Courier New" w:hAnsi="Courier New"/>
          <w:sz w:val="14"/>
          <w:szCs w:val="14"/>
          <w:color w:val="auto"/>
        </w:rPr>
      </w:pPr>
    </w:p>
    <w:p>
      <w:pPr>
        <w:ind w:left="1640" w:hanging="436"/>
        <w:spacing w:after="0"/>
        <w:tabs>
          <w:tab w:leader="none" w:pos="1640"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payment period:</w:t>
      </w:r>
    </w:p>
    <w:p>
      <w:pPr>
        <w:spacing w:after="0" w:line="5" w:lineRule="exact"/>
        <w:rPr>
          <w:rFonts w:ascii="Courier New" w:cs="Courier New" w:eastAsia="Courier New" w:hAnsi="Courier New"/>
          <w:sz w:val="14"/>
          <w:szCs w:val="14"/>
          <w:color w:val="auto"/>
        </w:rPr>
      </w:pPr>
    </w:p>
    <w:p>
      <w:pPr>
        <w:ind w:left="1800" w:right="3659" w:hanging="596"/>
        <w:spacing w:after="0" w:line="251" w:lineRule="auto"/>
        <w:tabs>
          <w:tab w:leader="none" w:pos="1629"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and notice instructions: As set forth on attached Purchaser Schedule</w:t>
      </w:r>
    </w:p>
    <w:p>
      <w:pPr>
        <w:spacing w:after="0" w:line="161" w:lineRule="exact"/>
        <w:rPr>
          <w:rFonts w:ascii="Courier New" w:cs="Courier New" w:eastAsia="Courier New" w:hAnsi="Courier New"/>
          <w:sz w:val="14"/>
          <w:szCs w:val="14"/>
          <w:color w:val="auto"/>
        </w:rPr>
      </w:pPr>
    </w:p>
    <w:p>
      <w:pPr>
        <w:ind w:left="1200" w:hanging="423"/>
        <w:spacing w:after="0"/>
        <w:tabs>
          <w:tab w:leader="none" w:pos="1200"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Name of Purchaser:</w:t>
      </w:r>
    </w:p>
    <w:p>
      <w:pPr>
        <w:spacing w:after="0" w:line="5" w:lineRule="exact"/>
        <w:rPr>
          <w:rFonts w:ascii="Courier New" w:cs="Courier New" w:eastAsia="Courier New" w:hAnsi="Courier New"/>
          <w:sz w:val="14"/>
          <w:szCs w:val="14"/>
          <w:color w:val="auto"/>
        </w:rPr>
      </w:pPr>
    </w:p>
    <w:p>
      <w:pPr>
        <w:ind w:left="1640" w:hanging="436"/>
        <w:spacing w:after="0"/>
        <w:tabs>
          <w:tab w:leader="none" w:pos="1640"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amount:</w:t>
      </w:r>
    </w:p>
    <w:p>
      <w:pPr>
        <w:spacing w:after="0" w:line="5" w:lineRule="exact"/>
        <w:rPr>
          <w:rFonts w:ascii="Courier New" w:cs="Courier New" w:eastAsia="Courier New" w:hAnsi="Courier New"/>
          <w:sz w:val="14"/>
          <w:szCs w:val="14"/>
          <w:color w:val="auto"/>
        </w:rPr>
      </w:pPr>
    </w:p>
    <w:p>
      <w:pPr>
        <w:ind w:left="1640" w:hanging="436"/>
        <w:spacing w:after="0"/>
        <w:tabs>
          <w:tab w:leader="none" w:pos="1640"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maturity date:</w:t>
      </w:r>
    </w:p>
    <w:p>
      <w:pPr>
        <w:spacing w:after="0" w:line="5" w:lineRule="exact"/>
        <w:rPr>
          <w:rFonts w:ascii="Courier New" w:cs="Courier New" w:eastAsia="Courier New" w:hAnsi="Courier New"/>
          <w:sz w:val="14"/>
          <w:szCs w:val="14"/>
          <w:color w:val="auto"/>
        </w:rPr>
      </w:pPr>
    </w:p>
    <w:p>
      <w:pPr>
        <w:ind w:left="1640" w:hanging="436"/>
        <w:spacing w:after="0"/>
        <w:tabs>
          <w:tab w:leader="none" w:pos="1640"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prepayment dates and amounts:</w:t>
      </w:r>
    </w:p>
    <w:p>
      <w:pPr>
        <w:spacing w:after="0" w:line="5" w:lineRule="exact"/>
        <w:rPr>
          <w:rFonts w:ascii="Courier New" w:cs="Courier New" w:eastAsia="Courier New" w:hAnsi="Courier New"/>
          <w:sz w:val="14"/>
          <w:szCs w:val="14"/>
          <w:color w:val="auto"/>
        </w:rPr>
      </w:pPr>
    </w:p>
    <w:p>
      <w:pPr>
        <w:ind w:left="1640" w:hanging="436"/>
        <w:spacing w:after="0"/>
        <w:tabs>
          <w:tab w:leader="none" w:pos="1640"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w:t>
      </w:r>
    </w:p>
    <w:p>
      <w:pPr>
        <w:spacing w:after="0" w:line="5" w:lineRule="exact"/>
        <w:rPr>
          <w:rFonts w:ascii="Courier New" w:cs="Courier New" w:eastAsia="Courier New" w:hAnsi="Courier New"/>
          <w:sz w:val="14"/>
          <w:szCs w:val="14"/>
          <w:color w:val="auto"/>
        </w:rPr>
      </w:pPr>
    </w:p>
    <w:p>
      <w:pPr>
        <w:ind w:left="1640" w:hanging="436"/>
        <w:spacing w:after="0"/>
        <w:tabs>
          <w:tab w:leader="none" w:pos="1640"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payment period:</w:t>
      </w:r>
    </w:p>
    <w:p>
      <w:pPr>
        <w:spacing w:after="0" w:line="5" w:lineRule="exact"/>
        <w:rPr>
          <w:rFonts w:ascii="Courier New" w:cs="Courier New" w:eastAsia="Courier New" w:hAnsi="Courier New"/>
          <w:sz w:val="14"/>
          <w:szCs w:val="14"/>
          <w:color w:val="auto"/>
        </w:rPr>
      </w:pPr>
    </w:p>
    <w:p>
      <w:pPr>
        <w:ind w:left="1800" w:right="3659" w:hanging="596"/>
        <w:spacing w:after="0" w:line="251" w:lineRule="auto"/>
        <w:tabs>
          <w:tab w:leader="none" w:pos="1629"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and notice instructions: As set forth on attached Purchaser Schedule</w:t>
      </w:r>
    </w:p>
    <w:p>
      <w:pPr>
        <w:spacing w:after="0" w:line="32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 (D)..... same information as above.]</w:t>
      </w:r>
    </w:p>
    <w:p>
      <w:pPr>
        <w:sectPr>
          <w:pgSz w:w="11900" w:h="16838" w:orient="portrait"/>
          <w:cols w:equalWidth="0" w:num="1">
            <w:col w:w="10159"/>
          </w:cols>
          <w:pgMar w:left="300" w:top="612" w:right="1440" w:bottom="1440" w:gutter="0" w:footer="0" w:header="0"/>
        </w:sectPr>
      </w:pPr>
    </w:p>
    <w:bookmarkStart w:id="133" w:name="page134"/>
    <w:bookmarkEnd w:id="133"/>
    <w:p>
      <w:pPr>
        <w:ind w:left="780" w:hanging="772"/>
        <w:spacing w:after="0"/>
        <w:tabs>
          <w:tab w:leader="none" w:pos="7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Day:</w:t>
      </w:r>
    </w:p>
    <w:p>
      <w:pPr>
        <w:sectPr>
          <w:pgSz w:w="11900" w:h="16838" w:orient="portrait"/>
          <w:cols w:equalWidth="0" w:num="1">
            <w:col w:w="10159"/>
          </w:cols>
          <w:pgMar w:left="300" w:top="612" w:right="1440" w:bottom="1440" w:gutter="0" w:footer="0" w:header="0"/>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WATSCO, INC.</w:t>
      </w:r>
    </w:p>
    <w:p>
      <w:pPr>
        <w:spacing w:after="0" w:line="200" w:lineRule="exact"/>
        <w:rPr>
          <w:sz w:val="20"/>
          <w:szCs w:val="20"/>
          <w:color w:val="auto"/>
        </w:rPr>
      </w:pPr>
    </w:p>
    <w:p>
      <w:pPr>
        <w:sectPr>
          <w:pgSz w:w="11900" w:h="16838" w:orient="portrait"/>
          <w:cols w:equalWidth="0" w:num="2">
            <w:col w:w="3040" w:space="720"/>
            <w:col w:w="6399"/>
          </w:cols>
          <w:pgMar w:left="300" w:top="612" w:right="1440" w:bottom="1440" w:gutter="0" w:footer="0" w:header="0"/>
          <w:type w:val="continuous"/>
        </w:sectPr>
      </w:pPr>
    </w:p>
    <w:p>
      <w:pPr>
        <w:spacing w:after="0" w:line="299"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334"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4"/>
          <w:szCs w:val="14"/>
          <w:color w:val="auto"/>
        </w:rPr>
        <w:t>[THE PRUDENTIAL INSURANCE</w:t>
      </w:r>
    </w:p>
    <w:p>
      <w:pPr>
        <w:spacing w:after="0" w:line="6"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4"/>
          <w:szCs w:val="14"/>
          <w:color w:val="auto"/>
        </w:rPr>
        <w:t>COMPANY OF AMERICA]</w:t>
      </w:r>
    </w:p>
    <w:p>
      <w:pPr>
        <w:spacing w:after="0" w:line="334"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6"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Vice President</w:t>
      </w:r>
    </w:p>
    <w:p>
      <w:pPr>
        <w:spacing w:after="0" w:line="200" w:lineRule="exact"/>
        <w:rPr>
          <w:sz w:val="20"/>
          <w:szCs w:val="20"/>
          <w:color w:val="auto"/>
        </w:rPr>
      </w:pPr>
    </w:p>
    <w:p>
      <w:pPr>
        <w:spacing w:after="0" w:line="299"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[PRUDENTIAL AFFILIATE]</w:t>
      </w:r>
    </w:p>
    <w:p>
      <w:pPr>
        <w:spacing w:after="0" w:line="334"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6"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Vice President</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159"/>
          </w:cols>
          <w:pgMar w:left="300" w:top="612" w:right="1440" w:bottom="1440" w:gutter="0" w:footer="0" w:header="0"/>
          <w:type w:val="continuous"/>
        </w:sectPr>
      </w:pPr>
    </w:p>
    <w:bookmarkStart w:id="134" w:name="page135"/>
    <w:bookmarkEnd w:id="134"/>
    <w:p>
      <w:pPr>
        <w:jc w:val="center"/>
        <w:ind w:right="3219"/>
        <w:spacing w:after="0"/>
        <w:rPr>
          <w:sz w:val="20"/>
          <w:szCs w:val="20"/>
          <w:color w:val="auto"/>
        </w:rPr>
      </w:pPr>
      <w:r>
        <w:rPr>
          <w:rFonts w:ascii="Courier New" w:cs="Courier New" w:eastAsia="Courier New" w:hAnsi="Courier New"/>
          <w:sz w:val="14"/>
          <w:szCs w:val="14"/>
          <w:color w:val="auto"/>
        </w:rPr>
        <w:t>EXHIBIT D-1</w:t>
      </w:r>
    </w:p>
    <w:p>
      <w:pPr>
        <w:spacing w:after="0" w:line="170"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[FORM OF OPINION OF COMPANY'S COUNSEL]</w:t>
      </w:r>
    </w:p>
    <w:p>
      <w:pPr>
        <w:spacing w:after="0" w:line="170"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[Letterhead of Moore Van Allen]</w:t>
      </w:r>
    </w:p>
    <w:p>
      <w:pPr>
        <w:spacing w:after="0" w:line="17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[Date of Closing]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 of America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Prudential Capital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Ravinia Drive, Suite 1400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Georgia 30346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We have acted as counsel for Watsco, Inc. (the "COMPANY") in connection with the Note Purchase and Private Shelf Agreement, dated as of January __, 2000 (the "AGREEMENT") between the Company and The Prudential Insurance Company of America and each Prudential Affiliate which becomes a party thereto and each of its Subsidiaries. Capitalized terms used and not otherwise defined herein shall have the meanings provided in the Agreement. This letter is being delivered to you in satisfaction of the condition set forth in paragraph 3A(1)(vi) of the Agreement and with the understanding you are purchasing the Notes in reliance on the opinions expressed herein.</w:t>
      </w:r>
    </w:p>
    <w:p>
      <w:pPr>
        <w:spacing w:after="0" w:line="162"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In this connection, we have examined such certificates of public officials, certificates of officers of the Company and its Subsidiaries and copies certified to our satisfaction of corporate documents and records of the Company and its Subsidiaries and of other papers, and have made such other investigations, as we have deemed relevant and necessary as a basis for our opinion hereinafter set forth. We have relied upon such certificates of public officials and of officers of the Company with respect to the accuracy of material factual matters contained therein which were not independently established.</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Based on the foregoing, it is our opinion that:</w:t>
      </w:r>
    </w:p>
    <w:p>
      <w:pPr>
        <w:spacing w:after="0" w:line="170" w:lineRule="exact"/>
        <w:rPr>
          <w:sz w:val="20"/>
          <w:szCs w:val="20"/>
          <w:color w:val="auto"/>
        </w:rPr>
      </w:pPr>
    </w:p>
    <w:p>
      <w:pPr>
        <w:ind w:right="3479" w:firstLine="777"/>
        <w:spacing w:after="0" w:line="251" w:lineRule="auto"/>
        <w:tabs>
          <w:tab w:leader="none" w:pos="102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the corporate power to carry on their respective businesses as now being conducted.</w:t>
      </w:r>
    </w:p>
    <w:p>
      <w:pPr>
        <w:spacing w:after="0" w:line="161" w:lineRule="exact"/>
        <w:rPr>
          <w:rFonts w:ascii="Courier New" w:cs="Courier New" w:eastAsia="Courier New" w:hAnsi="Courier New"/>
          <w:sz w:val="14"/>
          <w:szCs w:val="14"/>
          <w:color w:val="auto"/>
        </w:rPr>
      </w:pPr>
    </w:p>
    <w:p>
      <w:pPr>
        <w:ind w:right="3319" w:firstLine="777"/>
        <w:spacing w:after="0" w:line="249" w:lineRule="auto"/>
        <w:tabs>
          <w:tab w:leader="none" w:pos="102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has been duly authorized by all requisite corporate action and duly executed and delivered by authorized officers of the Company, and is a valid obligation of the Company, legally binding upon and enforceable against the Company in accordance with its terms, except as such enforceability may be limited by (a) bankruptcy, insolvency, reorganization or other similar laws affecting the enforcement of creditors' rights generally and (b) general principles of equity (regardless of whether such enforceability is considered in a proceeding in equity or at law).</w:t>
      </w:r>
    </w:p>
    <w:p>
      <w:pPr>
        <w:sectPr>
          <w:pgSz w:w="11900" w:h="16838" w:orient="portrait"/>
          <w:cols w:equalWidth="0" w:num="1">
            <w:col w:w="10159"/>
          </w:cols>
          <w:pgMar w:left="300" w:top="777" w:right="1440" w:bottom="1440" w:gutter="0" w:footer="0" w:header="0"/>
        </w:sectPr>
      </w:pPr>
    </w:p>
    <w:bookmarkStart w:id="135" w:name="page136"/>
    <w:bookmarkEnd w:id="135"/>
    <w:p>
      <w:pPr>
        <w:ind w:left="-777" w:right="3319" w:firstLine="777"/>
        <w:spacing w:after="0" w:line="248" w:lineRule="auto"/>
        <w:tabs>
          <w:tab w:leader="none" w:pos="249"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the Agreement and fulfillment of and compliance with the provisions of the Agreement do not conflict with, or result in a breach of the terms, conditions or provisions of, or constitute a default under, or result in any violation of, or result in the creation of any Lien upon any of the properties or assets of the Company or any of its Subsidiaries pursuant to, or require any authorization, consent, approval, exemption, or other action by or notice to or filing with any court, administrative or governmental body or other Person (other than routine filings after the date hereof with the Securities and Exchange Commission and/or state Blue Sky authorities) pursuant to, the charter or by-laws of the Company or any of its Subsidiaries, any applicable law (including any securities or Blue Sky law), statute, rule or regulation or (insofar as is known to us after having made due inquiry with respect thereto) any agreement (including, without limitation, any agreement listed in Schedule 8G to the Agreement), instrument, order, judgment or decree to which the Company or any of its Subsidiaries is a party or otherwise subject.</w:t>
      </w:r>
    </w:p>
    <w:p>
      <w:pPr>
        <w:spacing w:after="0" w:line="335" w:lineRule="exact"/>
        <w:rPr>
          <w:sz w:val="20"/>
          <w:szCs w:val="20"/>
          <w:color w:val="auto"/>
        </w:rPr>
      </w:pPr>
    </w:p>
    <w:p>
      <w:pPr>
        <w:ind w:left="3"/>
        <w:spacing w:after="0"/>
        <w:rPr>
          <w:sz w:val="20"/>
          <w:szCs w:val="20"/>
          <w:color w:val="auto"/>
        </w:rPr>
      </w:pPr>
      <w:r>
        <w:rPr>
          <w:rFonts w:ascii="Courier New" w:cs="Courier New" w:eastAsia="Courier New" w:hAnsi="Courier New"/>
          <w:sz w:val="14"/>
          <w:szCs w:val="14"/>
          <w:color w:val="auto"/>
        </w:rPr>
        <w:t>Each of King &amp; Spalding and any Transferee may rely on this opinion.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83"/>
        <w:spacing w:after="0"/>
        <w:rPr>
          <w:sz w:val="20"/>
          <w:szCs w:val="20"/>
          <w:color w:val="auto"/>
        </w:rPr>
      </w:pPr>
      <w:r>
        <w:rPr>
          <w:rFonts w:ascii="Courier New" w:cs="Courier New" w:eastAsia="Courier New" w:hAnsi="Courier New"/>
          <w:sz w:val="14"/>
          <w:szCs w:val="14"/>
          <w:color w:val="auto"/>
        </w:rPr>
        <w:t>Very truly yours,</w:t>
      </w:r>
    </w:p>
    <w:p>
      <w:pPr>
        <w:spacing w:after="0" w:line="334" w:lineRule="exact"/>
        <w:rPr>
          <w:sz w:val="20"/>
          <w:szCs w:val="20"/>
          <w:color w:val="auto"/>
        </w:rPr>
      </w:pPr>
    </w:p>
    <w:p>
      <w:pPr>
        <w:ind w:left="2383"/>
        <w:spacing w:after="0"/>
        <w:rPr>
          <w:sz w:val="20"/>
          <w:szCs w:val="20"/>
          <w:color w:val="auto"/>
        </w:rPr>
      </w:pPr>
      <w:r>
        <w:rPr>
          <w:rFonts w:ascii="Courier New" w:cs="Courier New" w:eastAsia="Courier New" w:hAnsi="Courier New"/>
          <w:sz w:val="14"/>
          <w:szCs w:val="14"/>
          <w:color w:val="auto"/>
        </w:rPr>
        <w:t>D-1-2</w:t>
      </w:r>
    </w:p>
    <w:p>
      <w:pPr>
        <w:sectPr>
          <w:pgSz w:w="11900" w:h="16838" w:orient="portrait"/>
          <w:cols w:equalWidth="0" w:num="1">
            <w:col w:w="9383"/>
          </w:cols>
          <w:pgMar w:left="1077" w:top="612" w:right="1440" w:bottom="1440" w:gutter="0" w:footer="0" w:header="0"/>
        </w:sectPr>
      </w:pPr>
    </w:p>
    <w:bookmarkStart w:id="136" w:name="page137"/>
    <w:bookmarkEnd w:id="136"/>
    <w:p>
      <w:pPr>
        <w:jc w:val="center"/>
        <w:ind w:right="3219"/>
        <w:spacing w:after="0"/>
        <w:rPr>
          <w:sz w:val="20"/>
          <w:szCs w:val="20"/>
          <w:color w:val="auto"/>
        </w:rPr>
      </w:pPr>
      <w:r>
        <w:rPr>
          <w:rFonts w:ascii="Courier New" w:cs="Courier New" w:eastAsia="Courier New" w:hAnsi="Courier New"/>
          <w:sz w:val="14"/>
          <w:szCs w:val="14"/>
          <w:color w:val="auto"/>
        </w:rPr>
        <w:t>EXHIBIT D-2</w:t>
      </w:r>
    </w:p>
    <w:p>
      <w:pPr>
        <w:spacing w:after="0" w:line="170"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[FORM OF OPINION OF FLORIDA COUNSEL TO THE COMPANY]</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[Letterhead of Greenberg Traurig Hoffman Lipoff Rosen &amp; Quentel P.A]</w:t>
      </w:r>
    </w:p>
    <w:p>
      <w:pPr>
        <w:spacing w:after="0" w:line="334"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[Date of Closing]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 of America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Prudential Capital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Ravinia Drive, Suite 1400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Georgia 30346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We have acted as counsel for Watsco, Inc. (the "COMPANY") in connection with the Note Purchase and Private Shelf Agreement, dated as of January __, 2000 (the "AGREEMENT") between the Company and The Prudential Insurance Company of America and each Prudential Affiliate which becomes a party thereto and each of its Subsidiaries identified on the attached Schedule. Capitalized terms used and not otherwise defined herein shall have the meanings provided in the Agreement. This letter is being delivered to you in satisfaction of the condition set forth in paragraph 3A(1)(vii) of the Agreement and with the understanding you are purchasing the Notes in reliance on the opinions expressed herein.</w:t>
      </w:r>
    </w:p>
    <w:p>
      <w:pPr>
        <w:spacing w:after="0" w:line="162"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In this connection, we have examined such certificates of public officials, certificates of officers of the Company and its Subsidiaries and copies certified to our satisfaction of corporate documents and records of the Company and its Subsidiaries and of other papers, and have made such other investigations, as we have deemed relevant and necessary as a basis for our opinion hereinafter set forth. We have relied upon such certificates of public officials and of officers of the Company with respect to the accuracy of material factual matters contained therein which were not independently established.</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Based on the foregoing, it is our opinion that:</w:t>
      </w:r>
    </w:p>
    <w:p>
      <w:pPr>
        <w:spacing w:after="0" w:line="170" w:lineRule="exact"/>
        <w:rPr>
          <w:sz w:val="20"/>
          <w:szCs w:val="20"/>
          <w:color w:val="auto"/>
        </w:rPr>
      </w:pPr>
    </w:p>
    <w:p>
      <w:pPr>
        <w:ind w:right="3319" w:firstLine="777"/>
        <w:spacing w:after="0" w:line="249" w:lineRule="auto"/>
        <w:tabs>
          <w:tab w:leader="none" w:pos="102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 corporation duly organized and validly existing in good standing under the laws of the State of Florida. The Company and its Subsidiaries have the corporate power to carry on their respective businesses as now being conducted.</w:t>
      </w:r>
    </w:p>
    <w:p>
      <w:pPr>
        <w:spacing w:after="0" w:line="163" w:lineRule="exact"/>
        <w:rPr>
          <w:rFonts w:ascii="Courier New" w:cs="Courier New" w:eastAsia="Courier New" w:hAnsi="Courier New"/>
          <w:sz w:val="14"/>
          <w:szCs w:val="14"/>
          <w:color w:val="auto"/>
        </w:rPr>
      </w:pPr>
    </w:p>
    <w:p>
      <w:pPr>
        <w:ind w:right="3399" w:firstLine="777"/>
        <w:spacing w:after="0" w:line="249" w:lineRule="auto"/>
        <w:tabs>
          <w:tab w:leader="none" w:pos="102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the Agreement and fulfillment of and compliance with the provisions of the Agreement do not require any authorization, consent, approval, exemption, or other action by or notice to or filing with any court, administrative or governmental body or other Person (other than routine filings after the date hereof with the Securities and Exchange Commission and/or state Blue Sky authorities) pursuant to, the charter or by-laws of the Company or any Guarantor, any applicable Florida law (including any</w:t>
      </w:r>
    </w:p>
    <w:p>
      <w:pPr>
        <w:sectPr>
          <w:pgSz w:w="11900" w:h="16838" w:orient="portrait"/>
          <w:cols w:equalWidth="0" w:num="1">
            <w:col w:w="10159"/>
          </w:cols>
          <w:pgMar w:left="300" w:top="612" w:right="1440" w:bottom="1440" w:gutter="0" w:footer="0" w:header="0"/>
        </w:sectPr>
      </w:pPr>
    </w:p>
    <w:bookmarkStart w:id="137" w:name="page138"/>
    <w:bookmarkEnd w:id="137"/>
    <w:p>
      <w:pPr>
        <w:jc w:val="both"/>
        <w:ind w:right="3319"/>
        <w:spacing w:after="0" w:line="250" w:lineRule="auto"/>
        <w:rPr>
          <w:sz w:val="20"/>
          <w:szCs w:val="20"/>
          <w:color w:val="auto"/>
        </w:rPr>
      </w:pPr>
      <w:r>
        <w:rPr>
          <w:rFonts w:ascii="Courier New" w:cs="Courier New" w:eastAsia="Courier New" w:hAnsi="Courier New"/>
          <w:sz w:val="14"/>
          <w:szCs w:val="14"/>
          <w:color w:val="auto"/>
        </w:rPr>
        <w:t>securities or Blue Sky law), statute, rule or regulation or (insofar as is known to us after having made due inquiry with respect thereto) any order, judgment or decree to which the Company or any Guarantor is a party or otherwise subject.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Each of King &amp; Spalding and any Transferee may rely on this opinion.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Very truly yours,</w:t>
      </w:r>
    </w:p>
    <w:p>
      <w:pPr>
        <w:spacing w:after="0" w:line="33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D-2-2</w:t>
      </w:r>
    </w:p>
    <w:p>
      <w:pPr>
        <w:sectPr>
          <w:pgSz w:w="11900" w:h="16838" w:orient="portrait"/>
          <w:cols w:equalWidth="0" w:num="1">
            <w:col w:w="10159"/>
          </w:cols>
          <w:pgMar w:left="300" w:top="612" w:right="1440" w:bottom="1440" w:gutter="0" w:footer="0" w:header="0"/>
        </w:sectPr>
      </w:pPr>
    </w:p>
    <w:bookmarkStart w:id="138" w:name="page139"/>
    <w:bookmarkEnd w:id="138"/>
    <w:p>
      <w:pPr>
        <w:jc w:val="center"/>
        <w:ind w:right="3219"/>
        <w:spacing w:after="0"/>
        <w:rPr>
          <w:sz w:val="20"/>
          <w:szCs w:val="20"/>
          <w:color w:val="auto"/>
        </w:rPr>
      </w:pPr>
      <w:r>
        <w:rPr>
          <w:rFonts w:ascii="Courier New" w:cs="Courier New" w:eastAsia="Courier New" w:hAnsi="Courier New"/>
          <w:sz w:val="14"/>
          <w:szCs w:val="14"/>
          <w:color w:val="auto"/>
        </w:rPr>
        <w:t>EXHIBIT D-3</w:t>
      </w:r>
    </w:p>
    <w:p>
      <w:pPr>
        <w:spacing w:after="0" w:line="170"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[FORM OF OPINION OF COMPANY'S COUNSEL]</w:t>
      </w: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[Letterhead of Moore Van Allen]</w:t>
      </w:r>
    </w:p>
    <w:p>
      <w:pPr>
        <w:spacing w:after="0" w:line="17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[Date of Closing]</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 of America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Prudential Capital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Ravinia Drive, Suite 1400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Georgia 30346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0"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We have acted as counsel for Watsco, Inc. (the "COMPANY") in connection with the Note Purchase and Private Shelf Agreement, dated as of January __, 2000 (the "AGREEMENT") between the Company and The Prudential Insurance Company of America and each Prudential Affiliate which becomes a party thereto and each of the Subsidiaries (each a "GUARANTOR") in connection with its Guaranty Agreement dated as of January __, 2000 (each a "GUARANTY AGREEMENT"). Capitalized terms used and not otherwise defined herein shall have the meanings provided in the Agreement. This letter is being delivered to you in satisfaction of the condition set forth in paragraph 3A(2)(vi) of the Agreement and with the understanding you are purchasing the Notes in reliance on the opinions expressed herein.</w:t>
      </w:r>
    </w:p>
    <w:p>
      <w:pPr>
        <w:spacing w:after="0" w:line="326"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In this connection, we have examined such certificates of public officials, certificates of officers of the Company and the Guarantors and copies certified to our satisfaction of corporate documents and records of the Company and the Guarantors and of other papers, and have made such other investigations, as we have deemed relevant and necessary as a basis for our opinion hereinafter set forth. We have relied upon such certificates of public officials and of officers of the Company with respect to the accuracy of material factual matters contained therein which were not independently established. With respect to the opinion expressed in paragraph 3 below, we have also relied upon the representation made by you in paragraph 9A of the Agreement.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Based on the foregoing, it is our opinion that:</w:t>
      </w:r>
    </w:p>
    <w:p>
      <w:pPr>
        <w:spacing w:after="0" w:line="170" w:lineRule="exact"/>
        <w:rPr>
          <w:sz w:val="20"/>
          <w:szCs w:val="20"/>
          <w:color w:val="auto"/>
        </w:rPr>
      </w:pPr>
    </w:p>
    <w:p>
      <w:pPr>
        <w:ind w:right="3399" w:firstLine="777"/>
        <w:spacing w:after="0" w:line="250" w:lineRule="auto"/>
        <w:tabs>
          <w:tab w:leader="none" w:pos="102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specified on the attached Schedule is a corporation duly organized and validly existing in good standing under the laws of its jurisdiction of incorporation. [COVER NORTH CAROLINA, DELAWARE AND NEW YORK]</w:t>
      </w:r>
    </w:p>
    <w:p>
      <w:pPr>
        <w:spacing w:after="0" w:line="161" w:lineRule="exact"/>
        <w:rPr>
          <w:rFonts w:ascii="Courier New" w:cs="Courier New" w:eastAsia="Courier New" w:hAnsi="Courier New"/>
          <w:sz w:val="14"/>
          <w:szCs w:val="14"/>
          <w:color w:val="auto"/>
        </w:rPr>
      </w:pPr>
    </w:p>
    <w:p>
      <w:pPr>
        <w:ind w:right="3479" w:firstLine="777"/>
        <w:spacing w:after="0" w:line="250" w:lineRule="auto"/>
        <w:tabs>
          <w:tab w:leader="none" w:pos="102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Guaranty Agreement has been duly authorized by all requisite corporate action and duly executed and delivered by authorized officers of the Guarantor a party thereto,</w:t>
      </w:r>
    </w:p>
    <w:p>
      <w:pPr>
        <w:sectPr>
          <w:pgSz w:w="11900" w:h="16838" w:orient="portrait"/>
          <w:cols w:equalWidth="0" w:num="1">
            <w:col w:w="10159"/>
          </w:cols>
          <w:pgMar w:left="300" w:top="777" w:right="1440" w:bottom="1440" w:gutter="0" w:footer="0" w:header="0"/>
        </w:sectPr>
      </w:pPr>
    </w:p>
    <w:bookmarkStart w:id="139" w:name="page140"/>
    <w:bookmarkEnd w:id="139"/>
    <w:p>
      <w:pPr>
        <w:ind w:right="3399"/>
        <w:spacing w:after="0" w:line="248" w:lineRule="auto"/>
        <w:rPr>
          <w:sz w:val="20"/>
          <w:szCs w:val="20"/>
          <w:color w:val="auto"/>
        </w:rPr>
      </w:pPr>
      <w:r>
        <w:rPr>
          <w:rFonts w:ascii="Courier New" w:cs="Courier New" w:eastAsia="Courier New" w:hAnsi="Courier New"/>
          <w:sz w:val="14"/>
          <w:szCs w:val="14"/>
          <w:color w:val="auto"/>
        </w:rPr>
        <w:t>and are valid obligations of such Guarantor, legally binding upon and enforceable against such Guarantor in accordance with its terms, except as such enforceability may be limited by (a) bankruptcy, insolvency, reorganization or other similar laws affecting the enforcement of creditors' rights generally and</w:t>
      </w:r>
    </w:p>
    <w:p>
      <w:pPr>
        <w:spacing w:after="0" w:line="2" w:lineRule="exact"/>
        <w:rPr>
          <w:sz w:val="20"/>
          <w:szCs w:val="20"/>
          <w:color w:val="auto"/>
        </w:rPr>
      </w:pPr>
    </w:p>
    <w:p>
      <w:pPr>
        <w:ind w:right="3479" w:firstLine="8"/>
        <w:spacing w:after="0" w:line="251" w:lineRule="auto"/>
        <w:tabs>
          <w:tab w:leader="none" w:pos="342"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principles of equity (regardless of whether such enforceability is considered in a proceeding in equity or at law).</w:t>
      </w:r>
    </w:p>
    <w:p>
      <w:pPr>
        <w:spacing w:after="0" w:line="161" w:lineRule="exact"/>
        <w:rPr>
          <w:rFonts w:ascii="Courier New" w:cs="Courier New" w:eastAsia="Courier New" w:hAnsi="Courier New"/>
          <w:sz w:val="14"/>
          <w:szCs w:val="14"/>
          <w:color w:val="auto"/>
        </w:rPr>
      </w:pPr>
    </w:p>
    <w:p>
      <w:pPr>
        <w:ind w:right="3319" w:firstLine="777"/>
        <w:spacing w:after="0" w:line="248" w:lineRule="auto"/>
        <w:tabs>
          <w:tab w:leader="none" w:pos="1025"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each Guaranty Agreement and fulfillment of and compliance with the provisions of such Guaranty Agreement does not conflict with, or result in a breach of the terms, conditions or provisions of, or constitute a default under, or result in any violation of, or result in the creation of any Lien upon any of the properties or assets of the Guarantor a party thereto pursuant to, or require any authorization, consent, approval, exemption, or other action by or notice to or filing with any court, administrative or governmental body or other Person (other than routine filings after the date hereof with the Securities and Exchange Commission and/or state Blue Sky authorities) pursuant to, the charter or by-laws of such Guarantor, any applicable law (including any securities or Blue Sky law), statute, rule or regulation or (insofar as is known to us after having made due inquiry with respect thereto) any agreement (including, without limitation, any agreement listed in Schedule 8G to the Agreement), instrument, order, judgment or decree to which such Guarantor is a party or otherwise subject.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Each of King &amp; Spalding and any Transferee may rely on this opinion.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Very truly yours,</w:t>
      </w:r>
    </w:p>
    <w:p>
      <w:pPr>
        <w:spacing w:after="0" w:line="33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D-3-2</w:t>
      </w:r>
    </w:p>
    <w:p>
      <w:pPr>
        <w:sectPr>
          <w:pgSz w:w="11900" w:h="16838" w:orient="portrait"/>
          <w:cols w:equalWidth="0" w:num="1">
            <w:col w:w="10159"/>
          </w:cols>
          <w:pgMar w:left="300" w:top="612" w:right="1440" w:bottom="1440" w:gutter="0" w:footer="0" w:header="0"/>
        </w:sectPr>
      </w:pPr>
    </w:p>
    <w:bookmarkStart w:id="140" w:name="page141"/>
    <w:bookmarkEnd w:id="140"/>
    <w:p>
      <w:pPr>
        <w:jc w:val="center"/>
        <w:ind w:right="3219"/>
        <w:spacing w:after="0"/>
        <w:rPr>
          <w:sz w:val="20"/>
          <w:szCs w:val="20"/>
          <w:color w:val="auto"/>
        </w:rPr>
      </w:pPr>
      <w:r>
        <w:rPr>
          <w:rFonts w:ascii="Courier New" w:cs="Courier New" w:eastAsia="Courier New" w:hAnsi="Courier New"/>
          <w:sz w:val="14"/>
          <w:szCs w:val="14"/>
          <w:color w:val="auto"/>
        </w:rPr>
        <w:t>EXHIBIT D-4</w:t>
      </w:r>
    </w:p>
    <w:p>
      <w:pPr>
        <w:spacing w:after="0" w:line="170"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[FORM OF OPINION OF FLORIDA COUNSEL TO THE COMPANY]</w:t>
      </w:r>
    </w:p>
    <w:p>
      <w:pPr>
        <w:spacing w:after="0" w:line="33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[Letterhead of Greenberg Traurig Hoffman Lipoff Rosen &amp; Quentel P.A]</w:t>
      </w:r>
    </w:p>
    <w:p>
      <w:pPr>
        <w:spacing w:after="0" w:line="334"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[Date of Closing]</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 of America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Prudential Capital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Ravinia Drive, Suite 1400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Georgia 30346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0"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We have acted as counsel for Watsco, Inc. (the "COMPANY") in connection with the Note Purchase and Private Shelf Agreement, dated as of January __, 2000 (the "AGREEMENT") between the Company and The Prudential Insurance Company of America and each Prudential Affiliate which becomes a party thereto and each of the Subsidiaries identified on the attached Schedule (each a "GUARANTOR") in connection with its Guaranty Agreement dated as of January __, 2000 (each a "GUARANTY AGREEMENT"). Capitalized terms used and not otherwise defined herein shall have the meanings provided in the Agreement. This letter is being delivered to you in satisfaction of the condition set forth in paragraph 3A(2)(vii) of the Agreement and with the understanding you are purchasing the Notes in reliance on the opinions expressed herein.</w:t>
      </w:r>
    </w:p>
    <w:p>
      <w:pPr>
        <w:spacing w:after="0" w:line="169"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In this connection, we have examined such certificates of public officials, certificates of officers of the Company and the Guarantors and copies certified to our satisfaction of corporate documents and records of the Company and the Guarantors and of other papers, and have made such other investigations, as we have deemed relevant and necessary as a basis for our opinion hereinafter set forth. We have relied upon such certificates of public officials and of officers of the Company with respect to the accuracy of material factual matters contained therein which were not independently established. With respect to the opinion expressed in paragraph 3 below, we have also relied upon the representation made by you in paragraph 9A of the Agreement.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Based on the foregoing, it is our opinion that:</w:t>
      </w:r>
    </w:p>
    <w:p>
      <w:pPr>
        <w:spacing w:after="0" w:line="170" w:lineRule="exact"/>
        <w:rPr>
          <w:sz w:val="20"/>
          <w:szCs w:val="20"/>
          <w:color w:val="auto"/>
        </w:rPr>
      </w:pPr>
    </w:p>
    <w:p>
      <w:pPr>
        <w:ind w:right="3479" w:firstLine="777"/>
        <w:spacing w:after="0" w:line="251" w:lineRule="auto"/>
        <w:tabs>
          <w:tab w:leader="none" w:pos="102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Guarantors is a corporation duly organized and validly existing in good standing under the laws of the State of Florida.</w:t>
      </w:r>
    </w:p>
    <w:p>
      <w:pPr>
        <w:spacing w:after="0" w:line="161" w:lineRule="exact"/>
        <w:rPr>
          <w:rFonts w:ascii="Courier New" w:cs="Courier New" w:eastAsia="Courier New" w:hAnsi="Courier New"/>
          <w:sz w:val="14"/>
          <w:szCs w:val="14"/>
          <w:color w:val="auto"/>
        </w:rPr>
      </w:pPr>
    </w:p>
    <w:p>
      <w:pPr>
        <w:ind w:right="3659" w:firstLine="777"/>
        <w:spacing w:after="0" w:line="249" w:lineRule="auto"/>
        <w:tabs>
          <w:tab w:leader="none" w:pos="102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each Guaranty Agreement and fulfillment of and compliance with the provisions of such Guaranty Agreement does not require any authorization, consent, approval, exemption, or other action by or notice to or filing with any court,</w:t>
      </w:r>
    </w:p>
    <w:p>
      <w:pPr>
        <w:sectPr>
          <w:pgSz w:w="11900" w:h="16838" w:orient="portrait"/>
          <w:cols w:equalWidth="0" w:num="1">
            <w:col w:w="10159"/>
          </w:cols>
          <w:pgMar w:left="300" w:top="777" w:right="1440" w:bottom="1440" w:gutter="0" w:footer="0" w:header="0"/>
        </w:sectPr>
      </w:pPr>
    </w:p>
    <w:bookmarkStart w:id="141" w:name="page142"/>
    <w:bookmarkEnd w:id="141"/>
    <w:p>
      <w:pPr>
        <w:ind w:right="3319"/>
        <w:spacing w:after="0" w:line="249" w:lineRule="auto"/>
        <w:rPr>
          <w:sz w:val="20"/>
          <w:szCs w:val="20"/>
          <w:color w:val="auto"/>
        </w:rPr>
      </w:pPr>
      <w:r>
        <w:rPr>
          <w:rFonts w:ascii="Courier New" w:cs="Courier New" w:eastAsia="Courier New" w:hAnsi="Courier New"/>
          <w:sz w:val="14"/>
          <w:szCs w:val="14"/>
          <w:color w:val="auto"/>
        </w:rPr>
        <w:t>administrative or governmental body or other Person (other than routine filings after the date hereof with the Securities and Exchange Commission and/or state Blue Sky authorities) pursuant to, the charter or by-laws of each Guarantor, any applicable Florida law (including any securities or Blue Sky law), statute, rule or regulation or (insofar as is known to us after having made due inquiry with respect thereto) any order, judgment or decree to which such Guarantor is a party or otherwise subject.</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Each of King &amp; Spalding and any Transferee may rely on this opinion.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Very truly yours,</w:t>
      </w: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D-4-2</w:t>
      </w:r>
    </w:p>
    <w:p>
      <w:pPr>
        <w:sectPr>
          <w:pgSz w:w="11900" w:h="16838" w:orient="portrait"/>
          <w:cols w:equalWidth="0" w:num="1">
            <w:col w:w="10159"/>
          </w:cols>
          <w:pgMar w:left="300" w:top="612" w:right="1440" w:bottom="1440" w:gutter="0" w:footer="0" w:header="0"/>
        </w:sectPr>
      </w:pPr>
    </w:p>
    <w:bookmarkStart w:id="142" w:name="page143"/>
    <w:bookmarkEnd w:id="142"/>
    <w:p>
      <w:pPr>
        <w:jc w:val="center"/>
        <w:ind w:right="3219"/>
        <w:spacing w:after="0"/>
        <w:rPr>
          <w:sz w:val="20"/>
          <w:szCs w:val="20"/>
          <w:color w:val="auto"/>
        </w:rPr>
      </w:pPr>
      <w:r>
        <w:rPr>
          <w:rFonts w:ascii="Courier New" w:cs="Courier New" w:eastAsia="Courier New" w:hAnsi="Courier New"/>
          <w:sz w:val="14"/>
          <w:szCs w:val="14"/>
          <w:color w:val="auto"/>
        </w:rPr>
        <w:t>EXHIBIT D-5</w:t>
      </w:r>
    </w:p>
    <w:p>
      <w:pPr>
        <w:spacing w:after="0" w:line="170"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[FORM OF OPINION OF COMPANY'S COUNSEL]</w:t>
      </w: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[Letterhead of Moore Van Allen]</w:t>
      </w:r>
    </w:p>
    <w:p>
      <w:pPr>
        <w:spacing w:after="0" w:line="17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[Date of Closing]</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and address(es)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Purchaser(s)]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0"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We have acted as counsel for Watsco, Inc. (the "COMPANY") in connection with the Note Purchase and Private Shelf Agreement, dated as of January __, 2000 (the "AGREEMENT") between the Company, on the one hand, and The Prudential Insurance Company of America and each Prudential Affiliate which becomes a party thereto, on the other hand, pursuant to which the Company has issued to you today Senior Series ___ Notes of the Company in the aggregate principal amount of $ (the "NOTES"). Capitalized terms used and not otherwise defined herein shall have the meanings provided in the Agreement. This letter is being delivered to you in satisfaction of the condition set forth in paragraph 3A(3)(v) of the Agreement and with the understanding that you are purchasing the Notes in reliance on the opinions expressed herein.</w:t>
      </w:r>
    </w:p>
    <w:p>
      <w:pPr>
        <w:spacing w:after="0" w:line="169"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In this connection, we have examined such certificates of public officials, certificates of officers of the Company and copies certified to our satisfaction of corporate documents and records of the Company and of other papers, and have made such other investigations, as we have deemed relevant and necessary as a basis for our opinion hereinafter set forth. We have relied upon such certificates of public officials and of officers of the Company with respect to the accuracy of material factual matters contained therein which were not independently established. With respect to the opinion expressed in paragraph 3 below, we have also relied upon the representation made by [each of] you in paragraph 9A of the Agreement.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Based on the foregoing, it is our opinion that:</w:t>
      </w:r>
    </w:p>
    <w:p>
      <w:pPr>
        <w:spacing w:after="0" w:line="170" w:lineRule="exact"/>
        <w:rPr>
          <w:sz w:val="20"/>
          <w:szCs w:val="20"/>
          <w:color w:val="auto"/>
        </w:rPr>
      </w:pPr>
    </w:p>
    <w:p>
      <w:pPr>
        <w:ind w:right="3319" w:firstLine="777"/>
        <w:spacing w:after="0" w:line="249" w:lineRule="auto"/>
        <w:tabs>
          <w:tab w:leader="none" w:pos="102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specified on the attached Schedule is a corporation duly organized and validly existing in good standing under the laws of its jurisdiction of incorporation. [COVER NORTH CAROLINA, DELAWARE AND NEW YORK] The Company and its Subsidiaries have the corporate power to carry on their respective businesses as now being conducted.</w:t>
      </w:r>
    </w:p>
    <w:p>
      <w:pPr>
        <w:spacing w:after="0" w:line="163" w:lineRule="exact"/>
        <w:rPr>
          <w:rFonts w:ascii="Courier New" w:cs="Courier New" w:eastAsia="Courier New" w:hAnsi="Courier New"/>
          <w:sz w:val="14"/>
          <w:szCs w:val="14"/>
          <w:color w:val="auto"/>
        </w:rPr>
      </w:pPr>
    </w:p>
    <w:p>
      <w:pPr>
        <w:ind w:right="3479" w:firstLine="777"/>
        <w:spacing w:after="0" w:line="249" w:lineRule="auto"/>
        <w:tabs>
          <w:tab w:leader="none" w:pos="102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have been duly authorized by all requisite corporate action and duly executed and delivered by authorized officers of the Company, and are valid obligations of the Company, legally binding upon and enforceable against the Company in accordance with their</w:t>
      </w:r>
    </w:p>
    <w:p>
      <w:pPr>
        <w:sectPr>
          <w:pgSz w:w="11900" w:h="16838" w:orient="portrait"/>
          <w:cols w:equalWidth="0" w:num="1">
            <w:col w:w="10159"/>
          </w:cols>
          <w:pgMar w:left="300" w:top="777" w:right="1440" w:bottom="1440" w:gutter="0" w:footer="0" w:header="0"/>
        </w:sectPr>
      </w:pPr>
    </w:p>
    <w:bookmarkStart w:id="143" w:name="page144"/>
    <w:bookmarkEnd w:id="143"/>
    <w:p>
      <w:pPr>
        <w:ind w:right="3399"/>
        <w:spacing w:after="0" w:line="249" w:lineRule="auto"/>
        <w:rPr>
          <w:sz w:val="20"/>
          <w:szCs w:val="20"/>
          <w:color w:val="auto"/>
        </w:rPr>
      </w:pPr>
      <w:r>
        <w:rPr>
          <w:rFonts w:ascii="Courier New" w:cs="Courier New" w:eastAsia="Courier New" w:hAnsi="Courier New"/>
          <w:sz w:val="14"/>
          <w:szCs w:val="14"/>
          <w:color w:val="auto"/>
        </w:rPr>
        <w:t>respective terms, except as such enforceability may be limited by (a) bankruptcy, insolvency, reorganization or other similar laws affecting the enforcement of creditors' rights generally and (b) general principles of equity (regardless of whether such enforceability is considered in a proceeding in equity or at law).</w:t>
      </w:r>
    </w:p>
    <w:p>
      <w:pPr>
        <w:spacing w:after="0" w:line="163" w:lineRule="exact"/>
        <w:rPr>
          <w:sz w:val="20"/>
          <w:szCs w:val="20"/>
          <w:color w:val="auto"/>
        </w:rPr>
      </w:pPr>
    </w:p>
    <w:p>
      <w:pPr>
        <w:jc w:val="both"/>
        <w:ind w:right="3399" w:firstLine="777"/>
        <w:spacing w:after="0" w:line="249" w:lineRule="auto"/>
        <w:tabs>
          <w:tab w:leader="none" w:pos="102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not necessary in connection with the offering, issuance, sale and delivery of the Notes under the circumstances contemplated by the Agreement to register the Notes under the Securities Act or to qualify an indenture in respect of the Notes under the Trust Indenture Act of 1939, as amended.</w:t>
      </w:r>
    </w:p>
    <w:p>
      <w:pPr>
        <w:spacing w:after="0" w:line="163" w:lineRule="exact"/>
        <w:rPr>
          <w:rFonts w:ascii="Courier New" w:cs="Courier New" w:eastAsia="Courier New" w:hAnsi="Courier New"/>
          <w:sz w:val="14"/>
          <w:szCs w:val="14"/>
          <w:color w:val="auto"/>
        </w:rPr>
      </w:pPr>
    </w:p>
    <w:p>
      <w:pPr>
        <w:ind w:right="3319" w:firstLine="777"/>
        <w:spacing w:after="0" w:line="250" w:lineRule="auto"/>
        <w:tabs>
          <w:tab w:leader="none" w:pos="102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extension, arranging and obtaining of the credit represented by the Notes do not result in any violation of regulation T, U or X of the Board of Governors of the Federal Reserve System.</w:t>
      </w:r>
    </w:p>
    <w:p>
      <w:pPr>
        <w:spacing w:after="0" w:line="161" w:lineRule="exact"/>
        <w:rPr>
          <w:rFonts w:ascii="Courier New" w:cs="Courier New" w:eastAsia="Courier New" w:hAnsi="Courier New"/>
          <w:sz w:val="14"/>
          <w:szCs w:val="14"/>
          <w:color w:val="auto"/>
        </w:rPr>
      </w:pPr>
    </w:p>
    <w:p>
      <w:pPr>
        <w:ind w:right="3319" w:firstLine="777"/>
        <w:spacing w:after="0" w:line="248" w:lineRule="auto"/>
        <w:tabs>
          <w:tab w:leader="none" w:pos="102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the Notes, the offering, issuance and sale of the Notes and fulfillment of and compliance with the respective provisions of the Agreement and the Notes do not conflict with, or result in a breach of the terms, conditions or provisions of, or constitute a default under, or result in any violation of, or result in the creation of any Lien upon any of the properties or assets of the Company or any of its Subsidiaries pursuant to, or require any authorization, consent, approval, exemption, or other action by or notice to or filing with any court, administrative or governmental body or other Person (other than routine filings after the date hereof with the Securities and Exchange Commission and/or state Blue Sky authorities) pursuant to, the charter or by-laws of the Company or any of its Subsidiaries, any applicable law (including any securities or Blue Sky law), statute, rule or regulation or (insofar as is known to us after having made due inquiry with respect thereto) any agreement (including, without limitation, any agreement listed in Schedule 8G to the Agreement), instrument, order, judgment or decree to which the Company or any of its Subsidiaries is a party or otherwise subject.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Each of King &amp; Spalding and any Transferee may rely on this opinion.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Very truly yours,</w:t>
      </w: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D-5-2</w:t>
      </w:r>
    </w:p>
    <w:p>
      <w:pPr>
        <w:sectPr>
          <w:pgSz w:w="11900" w:h="16838" w:orient="portrait"/>
          <w:cols w:equalWidth="0" w:num="1">
            <w:col w:w="10159"/>
          </w:cols>
          <w:pgMar w:left="300" w:top="612" w:right="1440" w:bottom="1440" w:gutter="0" w:footer="0" w:header="0"/>
        </w:sectPr>
      </w:pPr>
    </w:p>
    <w:bookmarkStart w:id="144" w:name="page145"/>
    <w:bookmarkEnd w:id="144"/>
    <w:p>
      <w:pPr>
        <w:jc w:val="center"/>
        <w:ind w:right="3219"/>
        <w:spacing w:after="0"/>
        <w:rPr>
          <w:sz w:val="20"/>
          <w:szCs w:val="20"/>
          <w:color w:val="auto"/>
        </w:rPr>
      </w:pPr>
      <w:r>
        <w:rPr>
          <w:rFonts w:ascii="Courier New" w:cs="Courier New" w:eastAsia="Courier New" w:hAnsi="Courier New"/>
          <w:sz w:val="14"/>
          <w:szCs w:val="14"/>
          <w:color w:val="auto"/>
        </w:rPr>
        <w:t>EXHIBIT D-6</w:t>
      </w:r>
    </w:p>
    <w:p>
      <w:pPr>
        <w:spacing w:after="0" w:line="170"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[FORM OF OPINION OF FLORIDA COUNSEL TO THE COMPANY]</w:t>
      </w:r>
    </w:p>
    <w:p>
      <w:pPr>
        <w:spacing w:after="0" w:line="33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[Letterhead of Greenberg Traurig Hoffman Lipoff Rosen &amp; Quentel P.A]</w:t>
      </w:r>
    </w:p>
    <w:p>
      <w:pPr>
        <w:spacing w:after="0" w:line="334"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[Date of Closing]</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and address(es)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Purchaser(s)]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0"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We have acted as counsel for Watsco, Inc. (the "COMPANY") in connection with the Note Purchase and Private Shelf Agreement, dated as of January __, 2000 (the "AGREEMENT") between the Company, on the one hand, and The Prudential Insurance Company of America and each Prudential Affiliate which becomes a party thereto, on the other hand, pursuant to which the Company has issued to you today Senior Series ___ Notes of the Company in the aggregate principal amount of $ (the "NOTES"). Capitalized terms used and not otherwise defined herein shall have the meanings provided in the Agreement. This letter is being delivered to you in satisfaction of the condition set forth in paragraph 3A(3)(vi) of the Agreement and with the understanding that you are purchasing the Notes in reliance on the opinions expressed herein.</w:t>
      </w:r>
    </w:p>
    <w:p>
      <w:pPr>
        <w:spacing w:after="0" w:line="169"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In this connection, we have examined such certificates of public officials, certificates of officers of the Company and copies certified to our satisfaction of corporate documents and records of the Company and of other papers, and have made such other investigations, as we have deemed relevant and necessary as a basis for our opinion hereinafter set forth. We have relied upon such certificates of public officials and of officers of the Company with respect to the accuracy of material factual matters contained therein which were not independently established. With respect to the opinion expressed in paragraph 3 below, we have also relied upon the representation made by [each of] you in paragraph 9A of the Agreement.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Based on the foregoing, it is our opinion that:</w:t>
      </w:r>
    </w:p>
    <w:p>
      <w:pPr>
        <w:spacing w:after="0" w:line="170" w:lineRule="exact"/>
        <w:rPr>
          <w:sz w:val="20"/>
          <w:szCs w:val="20"/>
          <w:color w:val="auto"/>
        </w:rPr>
      </w:pPr>
    </w:p>
    <w:p>
      <w:pPr>
        <w:ind w:right="3399" w:firstLine="777"/>
        <w:spacing w:after="0" w:line="249" w:lineRule="auto"/>
        <w:tabs>
          <w:tab w:leader="none" w:pos="102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 corporation duly organized and validly existing in good standing under the laws of the State of Florida. Each of the Subsidiaries specified on the attached Schedule is a corporation duly organized and validly existing in good standing under the laws of the State of Florida. The Company and its Subsidiaries have the corporate power to carry on their respective businesses as now being conducted.</w:t>
      </w:r>
    </w:p>
    <w:p>
      <w:pPr>
        <w:spacing w:after="0" w:line="163" w:lineRule="exact"/>
        <w:rPr>
          <w:rFonts w:ascii="Courier New" w:cs="Courier New" w:eastAsia="Courier New" w:hAnsi="Courier New"/>
          <w:sz w:val="14"/>
          <w:szCs w:val="14"/>
          <w:color w:val="auto"/>
        </w:rPr>
      </w:pPr>
    </w:p>
    <w:p>
      <w:pPr>
        <w:ind w:right="3399" w:firstLine="777"/>
        <w:spacing w:after="0" w:line="249" w:lineRule="auto"/>
        <w:tabs>
          <w:tab w:leader="none" w:pos="102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the Notes, the offering, issuance and sale of the Notes and fulfillment of and compliance with the respective provisions of the Agreement and the Notes do not require any authorization, consent, approval, exemption, or other action by or</w:t>
      </w:r>
    </w:p>
    <w:p>
      <w:pPr>
        <w:sectPr>
          <w:pgSz w:w="11900" w:h="16838" w:orient="portrait"/>
          <w:cols w:equalWidth="0" w:num="1">
            <w:col w:w="10159"/>
          </w:cols>
          <w:pgMar w:left="300" w:top="777" w:right="1440" w:bottom="1440" w:gutter="0" w:footer="0" w:header="0"/>
        </w:sectPr>
      </w:pPr>
    </w:p>
    <w:bookmarkStart w:id="145" w:name="page146"/>
    <w:bookmarkEnd w:id="145"/>
    <w:p>
      <w:pPr>
        <w:ind w:right="3319"/>
        <w:spacing w:after="0" w:line="249" w:lineRule="auto"/>
        <w:rPr>
          <w:sz w:val="20"/>
          <w:szCs w:val="20"/>
          <w:color w:val="auto"/>
        </w:rPr>
      </w:pPr>
      <w:r>
        <w:rPr>
          <w:rFonts w:ascii="Courier New" w:cs="Courier New" w:eastAsia="Courier New" w:hAnsi="Courier New"/>
          <w:sz w:val="14"/>
          <w:szCs w:val="14"/>
          <w:color w:val="auto"/>
        </w:rPr>
        <w:t>notice to or filing with any court, administrative or governmental body or other Person (other than routine filings after the date hereof with the Securities and Exchange Commission and/or state Blue Sky authorities) pursuant to, the charter or by-laws of the Company or any such Subsidiaries, any applicable Florida law (including any securities or Blue Sky law), statute, rule or regulation or (insofar as is known to us after having made due inquiry with respect thereto) any instrument, order, judgment or decree to which the Company or any such Subsidiaries is a party or otherwise subject.</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Each of King &amp; Spalding and any Transferee may rely on this opinion.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Very truly yours,</w:t>
      </w: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D-6-2</w:t>
      </w:r>
    </w:p>
    <w:p>
      <w:pPr>
        <w:sectPr>
          <w:pgSz w:w="11900" w:h="16838" w:orient="portrait"/>
          <w:cols w:equalWidth="0" w:num="1">
            <w:col w:w="10159"/>
          </w:cols>
          <w:pgMar w:left="300" w:top="612" w:right="1440" w:bottom="1440" w:gutter="0" w:footer="0" w:header="0"/>
        </w:sectPr>
      </w:pPr>
    </w:p>
    <w:bookmarkStart w:id="146" w:name="page147"/>
    <w:bookmarkEnd w:id="146"/>
    <w:p>
      <w:pPr>
        <w:ind w:left="3080"/>
        <w:spacing w:after="0"/>
        <w:rPr>
          <w:sz w:val="20"/>
          <w:szCs w:val="20"/>
          <w:color w:val="auto"/>
        </w:rPr>
      </w:pPr>
      <w:r>
        <w:rPr>
          <w:rFonts w:ascii="Courier New" w:cs="Courier New" w:eastAsia="Courier New" w:hAnsi="Courier New"/>
          <w:sz w:val="14"/>
          <w:szCs w:val="14"/>
          <w:color w:val="auto"/>
        </w:rPr>
        <w:t>EXHIBIT E</w:t>
      </w:r>
    </w:p>
    <w:p>
      <w:pPr>
        <w:spacing w:after="0" w:line="170"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[NAME OF SUBSIDIARY]</w:t>
      </w:r>
    </w:p>
    <w:p>
      <w:pPr>
        <w:spacing w:after="0" w:line="200" w:lineRule="exact"/>
        <w:rPr>
          <w:sz w:val="20"/>
          <w:szCs w:val="20"/>
          <w:color w:val="auto"/>
        </w:rPr>
      </w:pPr>
    </w:p>
    <w:p>
      <w:pPr>
        <w:spacing w:after="0" w:line="299"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THIS GUARANTY AGREEMENT dated as of January __, 2000 by [Name of Subsidiary] (the "GUARANTOR") in favor of The Prudential Insurance Company of America and each Prudential Affiliate, together with any of their affiliates or successors or assigns (collectively, the "NOTE PURCHASERS" and individually, a "NOTE PURCHASER").</w:t>
      </w:r>
    </w:p>
    <w:p>
      <w:pPr>
        <w:spacing w:after="0" w:line="163" w:lineRule="exact"/>
        <w:rPr>
          <w:sz w:val="20"/>
          <w:szCs w:val="20"/>
          <w:color w:val="auto"/>
        </w:rPr>
      </w:pPr>
    </w:p>
    <w:p>
      <w:pPr>
        <w:jc w:val="both"/>
        <w:ind w:right="3579" w:firstLine="769"/>
        <w:spacing w:after="0" w:line="250" w:lineRule="auto"/>
        <w:rPr>
          <w:sz w:val="20"/>
          <w:szCs w:val="20"/>
          <w:color w:val="auto"/>
        </w:rPr>
      </w:pPr>
      <w:r>
        <w:rPr>
          <w:rFonts w:ascii="Courier New" w:cs="Courier New" w:eastAsia="Courier New" w:hAnsi="Courier New"/>
          <w:sz w:val="14"/>
          <w:szCs w:val="14"/>
          <w:color w:val="auto"/>
        </w:rPr>
        <w:t>WHEREAS, the Guarantor and Watsco, Inc. ("PARENT") are collectively engaged in, among other things, the business of distributing HVAC and related equipment;</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WHEREAS, the Guarantor will benefit from the financing provided by the Note Purchasers to Parent pursuant to the Note Purchase and Private Shelf Agreement (the "AGREEMENT") dated as of January __, 2000 between Parent and the Note Purchasers as the continued success of the business operations of Guarantor is directly dependent upon the ability of Parent to obtain adequate financing for its business operations and the expansion of such business operations;</w:t>
      </w:r>
    </w:p>
    <w:p>
      <w:pPr>
        <w:spacing w:after="0" w:line="163" w:lineRule="exact"/>
        <w:rPr>
          <w:sz w:val="20"/>
          <w:szCs w:val="20"/>
          <w:color w:val="auto"/>
        </w:rPr>
      </w:pPr>
    </w:p>
    <w:p>
      <w:pPr>
        <w:jc w:val="both"/>
        <w:ind w:right="3579" w:firstLine="769"/>
        <w:spacing w:after="0" w:line="250"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are hereby acknowledged by the Guarantor, the Guarantor hereby agrees as follows:</w:t>
      </w:r>
    </w:p>
    <w:p>
      <w:pPr>
        <w:spacing w:after="0" w:line="162"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SECTION 1. GUARANTY. The Guarantor hereby absolutely and unconditionally guarantees the due and punctual payment and performance of: (i) the principal of, and accrued interest on, the Notes when due (whether at stated maturity, by acceleration or otherwise), (ii) all other monetary and nonmonetary obligations of the Parent owed to the Note Purchasers under the Agreement, any Note and any other agreement, document, guarantee or instrument executed in connection therewith ("RELATED DOCUMENTS") including all fees, charges (including, without limitation, any Yield-Maintenance Amount) and other amounts payable by the Parent to the Note Purchasers thereunder, and (iii) any and all extensions, renewals, modifications or substitutions of the foregoing (the items set forth in clauses (i) through (iii) hereunder are collectively referred to herein as the "OBLIGATIONS"); PROVIDED, HOWEVER, that the liability of the Guarantor hereunder shall not exceed at any time the Maximum Amount (as hereinafter defined) for the Guarantor. The "MAXIMUM AMOUNT" shall mean the greater of (i) 95% of (a) the fair salable value of the assets of the Guarantor as of the date hereof minus (b) the total liabilities of the Guarantor (including contingent liabilities but excluding liabilities of the Guarantor under this Guaranty Agreement) on the date hereof; and (ii) 95% of (x) the fair salable value of the assets of the Guarantor from time to time minus (y) the total liabilities of the Guarantor (including contingent liabilities but excluding liabilities of the Guarantor under this Guaranty Agreement) at such time to the extent permitted by applicable law.</w:t>
      </w:r>
    </w:p>
    <w:p>
      <w:pPr>
        <w:spacing w:after="0" w:line="338"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SECTION 2. GUARANTY OF PAYMENT AND NOT OF COLLECTION. This Guaranty Agreement shall be a guaranty of payment and not of collection. The Note Purchasers shall not be obliged before enforcing this Guaranty Agreement against the Guarantor: (a) to take any action in any court against the Parent or any other guarantor of the Obligations or otherwise take any action to</w:t>
      </w:r>
    </w:p>
    <w:p>
      <w:pPr>
        <w:sectPr>
          <w:pgSz w:w="11900" w:h="16838" w:orient="portrait"/>
          <w:cols w:equalWidth="0" w:num="1">
            <w:col w:w="10159"/>
          </w:cols>
          <w:pgMar w:left="300" w:top="777" w:right="1440" w:bottom="1440" w:gutter="0" w:footer="0" w:header="0"/>
        </w:sectPr>
      </w:pPr>
    </w:p>
    <w:bookmarkStart w:id="147" w:name="page148"/>
    <w:bookmarkEnd w:id="147"/>
    <w:p>
      <w:pPr>
        <w:ind w:right="3319"/>
        <w:spacing w:after="0" w:line="248" w:lineRule="auto"/>
        <w:rPr>
          <w:sz w:val="20"/>
          <w:szCs w:val="20"/>
          <w:color w:val="auto"/>
        </w:rPr>
      </w:pPr>
      <w:r>
        <w:rPr>
          <w:rFonts w:ascii="Courier New" w:cs="Courier New" w:eastAsia="Courier New" w:hAnsi="Courier New"/>
          <w:sz w:val="14"/>
          <w:szCs w:val="14"/>
          <w:color w:val="auto"/>
        </w:rPr>
        <w:t>enforce the rights and remedies of the Note Purchasers under the Agreement or the Notes or any other Related Documents, (b) to make any claim in a liquidation or bankruptcy of the Parent or any other guarantor of the Obligations or (c) to make demand of the Parent or any other guarantor of the Obligations or to enforce or seek to enforce any collateral or other security held by the Collateral Agent or any other Person securing or otherwise in respect of the Obligations. The Guarantor agrees that it shall be liable hereunder notwithstanding (x) the dissolution or liquidation, or the merger, consolidation or other change until the Obligations have been indefeasibly paid in full in form of the Parent or any other guarantor of the Obligations, (y) any defect, limitation or insufficiency in the borrowing powers of the Parent or in the exercise thereof or (z) the invalidity, illegality or unenforceability of the Agreement, the Notes or any other Related Documents.</w:t>
      </w:r>
    </w:p>
    <w:p>
      <w:pPr>
        <w:spacing w:after="0" w:line="170" w:lineRule="exact"/>
        <w:rPr>
          <w:sz w:val="20"/>
          <w:szCs w:val="20"/>
          <w:color w:val="auto"/>
        </w:rPr>
      </w:pPr>
    </w:p>
    <w:p>
      <w:pPr>
        <w:ind w:left="780"/>
        <w:spacing w:after="0"/>
        <w:tabs>
          <w:tab w:leader="none" w:pos="1780" w:val="left"/>
        </w:tabs>
        <w:rPr>
          <w:sz w:val="20"/>
          <w:szCs w:val="20"/>
          <w:color w:val="auto"/>
        </w:rPr>
      </w:pPr>
      <w:r>
        <w:rPr>
          <w:rFonts w:ascii="Courier New" w:cs="Courier New" w:eastAsia="Courier New" w:hAnsi="Courier New"/>
          <w:sz w:val="14"/>
          <w:szCs w:val="14"/>
          <w:color w:val="auto"/>
        </w:rPr>
        <w:t>SECTION 3.</w:t>
        <w:tab/>
        <w:t>NO DISCHARGE. The Guarantor shall not be discharged</w:t>
      </w:r>
    </w:p>
    <w:p>
      <w:pPr>
        <w:spacing w:after="0" w:line="6"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from its obligations hereunder by any concession, waiver or arrangement granted to or made with the Parent or by anything done or omitted which but for this provision might operate to so discharge the Guarantor from its obligations hereunder or by any invalidity, unenforceability, limitation, release or the lapse of any collateral security granted to the Note Purchasers or on behalf of the Note Purchasers by the Parent or any other Person to secure any of the Obligations.</w:t>
      </w:r>
    </w:p>
    <w:p>
      <w:pPr>
        <w:spacing w:after="0" w:line="163"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SECTION 4. ACTION WITH RESPECT TO OBLIGATIONS. Each Note Purchaser may, at any time and from time to time, without the consent of the Guarantor under this Guaranty Agreement, and without discharging the Guarantor from its obligations hereunder: (a) purchase Shelf Notes under the Agreement; (b) change the manner, place or terms of payment, or change or extend the time of payment of, or renew or alter the Obligations in any manner; (c) sell, exchange, release or otherwise deal with all or any part of any collateral security at any time granted, pledged or mortgaged by the Parent or any other Person to secure the Obligations; (d) release anyone liable in any manner for the payment or collection of the Obligations; (e) amend or otherwise alter the terms of the Agreement, the Notes or any other Related Document; (f) exercise, or refrain from exercising, any rights against the Parent or any other Person (including any other guarantor of the Obligations); and (g) apply any sum, by whomsoever paid or however realized, to the Obligations in such order as the Note Purchasers shall elect.</w:t>
      </w:r>
    </w:p>
    <w:p>
      <w:pPr>
        <w:spacing w:after="0" w:line="171"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SECTION 5. WAIVER. The Guarantor hereby waives notice of acceptance hereof or any presentment, demand, protest or notice of any kind under this Guaranty Agreement and any other act or thing or omission or delay to do any other act or thing which might in any manner or to any extent vary the risk of the Guarantor under this Guaranty Agreement or which might otherwise operate as a discharge of the Guarantor under this Guaranty Agreement.</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SECTION 6. INABILITY TO ACCELERATE NOTE. If an Event of Default shall have occurred and be continuing and the Note Purchasers or the holder of any of the Obligations is prevented from demanding or accelerating payment thereof by reason of any automatic stay or otherwise, the Note Purchasers or such holder shall be entitled to receive hereunder from the Guarantor, upon demand therefor, the sums which would have otherwise been due had such acceleration occurred.</w:t>
      </w:r>
    </w:p>
    <w:p>
      <w:pPr>
        <w:spacing w:after="0" w:line="163" w:lineRule="exact"/>
        <w:rPr>
          <w:sz w:val="20"/>
          <w:szCs w:val="20"/>
          <w:color w:val="auto"/>
        </w:rPr>
      </w:pPr>
    </w:p>
    <w:p>
      <w:pPr>
        <w:jc w:val="both"/>
        <w:ind w:right="3319" w:firstLine="769"/>
        <w:spacing w:after="0" w:line="250" w:lineRule="auto"/>
        <w:rPr>
          <w:sz w:val="20"/>
          <w:szCs w:val="20"/>
          <w:color w:val="auto"/>
        </w:rPr>
      </w:pPr>
      <w:r>
        <w:rPr>
          <w:rFonts w:ascii="Courier New" w:cs="Courier New" w:eastAsia="Courier New" w:hAnsi="Courier New"/>
          <w:sz w:val="14"/>
          <w:szCs w:val="14"/>
          <w:color w:val="auto"/>
        </w:rPr>
        <w:t>SECTION 7. REINSTATEMENT OF OBLIGATIONS. The Guarantor further confirms that this Guaranty Agreement shall continue to be effective or be reinstated, as the case may be, if at any</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159"/>
          </w:cols>
          <w:pgMar w:left="300" w:top="612" w:right="1440" w:bottom="1440" w:gutter="0" w:footer="0" w:header="0"/>
        </w:sectPr>
      </w:pPr>
    </w:p>
    <w:bookmarkStart w:id="148" w:name="page149"/>
    <w:bookmarkEnd w:id="148"/>
    <w:p>
      <w:pPr>
        <w:ind w:right="3399"/>
        <w:spacing w:after="0" w:line="250" w:lineRule="auto"/>
        <w:rPr>
          <w:sz w:val="20"/>
          <w:szCs w:val="20"/>
          <w:color w:val="auto"/>
        </w:rPr>
      </w:pPr>
      <w:r>
        <w:rPr>
          <w:rFonts w:ascii="Courier New" w:cs="Courier New" w:eastAsia="Courier New" w:hAnsi="Courier New"/>
          <w:sz w:val="14"/>
          <w:szCs w:val="14"/>
          <w:color w:val="auto"/>
        </w:rPr>
        <w:t>time payment of any of the Obligations is rescinded or must otherwise be restored by the Note Purchasers upon the bankruptcy or reorganization of any or all of the Parent or the Guarantor or otherwise.</w:t>
      </w:r>
    </w:p>
    <w:p>
      <w:pPr>
        <w:spacing w:after="0" w:line="162" w:lineRule="exact"/>
        <w:rPr>
          <w:sz w:val="20"/>
          <w:szCs w:val="20"/>
          <w:color w:val="auto"/>
        </w:rPr>
      </w:pPr>
    </w:p>
    <w:p>
      <w:pPr>
        <w:ind w:right="3399" w:firstLine="769"/>
        <w:spacing w:after="0" w:line="248" w:lineRule="auto"/>
        <w:rPr>
          <w:sz w:val="20"/>
          <w:szCs w:val="20"/>
          <w:color w:val="auto"/>
        </w:rPr>
      </w:pPr>
      <w:r>
        <w:rPr>
          <w:rFonts w:ascii="Courier New" w:cs="Courier New" w:eastAsia="Courier New" w:hAnsi="Courier New"/>
          <w:sz w:val="14"/>
          <w:szCs w:val="14"/>
          <w:color w:val="auto"/>
        </w:rPr>
        <w:t>SECTION 8. WAIVER OF SUBROGATION. The Guarantor hereby waives, until the Obligations have been indefeasibly paid in full, to the fullest extent any and all claims the Guarantor may have against Parent arising out of any payment by the Guarantor of any of the Obligations pursuant to this Guaranty Agreement, including, but not limited to, all such claims of the Guarantor arising out of any right of subrogation, indemnity, reimbursement, contribution, exoneration, payment or other claim, cause of action, right or remedy, whether such claim arises at law, in equity, or out of any written or oral agreement between the Guarantor and Parent or otherwise. The waivers set forth herein in this Section 8 may not be revoked by the Guarantor without the prior written consent of the Note Purchasers.</w:t>
      </w:r>
    </w:p>
    <w:p>
      <w:pPr>
        <w:spacing w:after="0" w:line="169"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SECTION 9. PAYMENTS FREE AND CLEAR. All sums payable by the Guarantor hereunder, whether of principal, interest, fees, expenses, premiums or otherwise, shall be paid in full, without set-off or counterclaim or any deduction or withholding whatsoever, or, in the event that the Guarantor is required by law to make any such deduction or withholding, the Guarantor shall pay to the Note Purchasers such additional amount as will result in the receipt by the Note Purchasers of the full amount payable hereunder.</w:t>
      </w:r>
    </w:p>
    <w:p>
      <w:pPr>
        <w:spacing w:after="0" w:line="163" w:lineRule="exact"/>
        <w:rPr>
          <w:sz w:val="20"/>
          <w:szCs w:val="20"/>
          <w:color w:val="auto"/>
        </w:rPr>
      </w:pPr>
    </w:p>
    <w:p>
      <w:pPr>
        <w:ind w:right="3319" w:firstLine="769"/>
        <w:spacing w:after="0" w:line="248" w:lineRule="auto"/>
        <w:rPr>
          <w:sz w:val="20"/>
          <w:szCs w:val="20"/>
          <w:color w:val="auto"/>
        </w:rPr>
      </w:pPr>
      <w:r>
        <w:rPr>
          <w:rFonts w:ascii="Courier New" w:cs="Courier New" w:eastAsia="Courier New" w:hAnsi="Courier New"/>
          <w:sz w:val="14"/>
          <w:szCs w:val="14"/>
          <w:color w:val="auto"/>
        </w:rPr>
        <w:t>SECTION 10. SOLVENCY. As of the date hereof and after giving effect to the guaranty contemplated hereunder (a) the amount of the "present fair salable value" of the assets of the Guarantor will, as of such date, exceed the amount of all "liabilities of the Guarantor, contingent or otherwise," as of such date, as such quoted terms are determined in accordance with applicable federal and state laws governing determinations of the solvency of debtors, (b) the present fair salable value of the assets of the Guarantor will, as of the date hereof, be greater than the amount that will be required to pay the liability of the Guarantor, on its debts as such debts become absolute and matured, (c) the Guarantor will not have, as of the date hereof, an unreasonably small amount of capital with which to conduct its business, and (d) the Guarantor will be able to pay its debts as they mature. For purposes of this Section "debt" means "liability or a claim", and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73"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SECTION 11. GOVERNING LAW/JURISDICTION. This Guaranty Agreement shall be construed and enforced in accordance with, and the rights of the parties shall be governed by, the laws of the State of New York. THE GUARANTOR HEREBY SUBMITS TO THE JURISDICTION OF THE SUPREME COURT OF THE STATE OF NEW YORK LOCATED IN NEW YORK COUNTY, NEW YORK AND THE UNITED STATES DISTRICT COURT FOR THE SOUTHERN DISTRICT OF NEW YORK, AND IRREVOCABLY AGREES THAT, SUBJECT TO THE SOLE AND ABSOLUTE ELECTION OF THE REQUIRED HOLDERS, ALL ACTIONS OR PROCEEDINGS RELATING TO THIS GUARANTY AGREEMENT OR THE NOTES OR ANY OTHER</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0159"/>
          </w:cols>
          <w:pgMar w:left="300" w:top="612" w:right="1440" w:bottom="1440" w:gutter="0" w:footer="0" w:header="0"/>
        </w:sectPr>
      </w:pPr>
    </w:p>
    <w:bookmarkStart w:id="149" w:name="page150"/>
    <w:bookmarkEnd w:id="149"/>
    <w:p>
      <w:pPr>
        <w:ind w:right="3319"/>
        <w:spacing w:after="0" w:line="250" w:lineRule="auto"/>
        <w:rPr>
          <w:sz w:val="20"/>
          <w:szCs w:val="20"/>
          <w:color w:val="auto"/>
        </w:rPr>
      </w:pPr>
      <w:r>
        <w:rPr>
          <w:rFonts w:ascii="Courier New" w:cs="Courier New" w:eastAsia="Courier New" w:hAnsi="Courier New"/>
          <w:sz w:val="14"/>
          <w:szCs w:val="14"/>
          <w:color w:val="auto"/>
        </w:rPr>
        <w:t>RELATED DOCUMENT SHALL BE LITIGATED IN SUCH COURTS, AND THE GUARANTOR WAIVES ANY OBJECTION WHICH IT MAY HAVE BASED ON IMPROPER VENUE OR FORUM NON CONVENIENS TO THE CONDUCT OF ANY PROCEEDING IN ANY SUCH COURT.</w:t>
      </w:r>
    </w:p>
    <w:p>
      <w:pPr>
        <w:spacing w:after="0" w:line="162"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SECTION 12. NOTE ACCOUNTS. The Note Purchasers shall maintain books and accounts setting forth the amounts of principal, interest and other sums paid and payable with respect to the Notes, the Agreement and the Obligations, and in the case of any dispute relating to any amounts outstanding with respect to any of the Obligations, the entries in such account shall be binding upon the Guarantor absent manifest error.</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SECTION 13. WAIVER OF REMEDIES. No delay or failure on the part of the Note Purchasers in the exercise of any right or remedy shall operate as a waiver thereof, and no single or partial exercise by the Note Purchasers of any right or remedy shall preclude other or further exercise thereof or the exercise of any other right or remedy.</w:t>
      </w:r>
    </w:p>
    <w:p>
      <w:pPr>
        <w:spacing w:after="0" w:line="163" w:lineRule="exact"/>
        <w:rPr>
          <w:sz w:val="20"/>
          <w:szCs w:val="20"/>
          <w:color w:val="auto"/>
        </w:rPr>
      </w:pPr>
    </w:p>
    <w:p>
      <w:pPr>
        <w:ind w:right="3579" w:firstLine="769"/>
        <w:spacing w:after="0" w:line="249" w:lineRule="auto"/>
        <w:rPr>
          <w:sz w:val="20"/>
          <w:szCs w:val="20"/>
          <w:color w:val="auto"/>
        </w:rPr>
      </w:pPr>
      <w:r>
        <w:rPr>
          <w:rFonts w:ascii="Courier New" w:cs="Courier New" w:eastAsia="Courier New" w:hAnsi="Courier New"/>
          <w:sz w:val="14"/>
          <w:szCs w:val="14"/>
          <w:color w:val="auto"/>
        </w:rPr>
        <w:t>SECTION 14. BANKRUPTCY OF GUARANTOR. In case of bankruptcy of the Guarantor, the Guarantor authorizes and directs the court, any trustee or the debtor-in-possession to deliver to the Note Purchasers a sufficient amount of property or money claimed as exempt or otherwise outside the estate of the Guarantor to pay or satisfy any outstanding Obligations.</w:t>
      </w:r>
    </w:p>
    <w:p>
      <w:pPr>
        <w:spacing w:after="0" w:line="163" w:lineRule="exact"/>
        <w:rPr>
          <w:sz w:val="20"/>
          <w:szCs w:val="20"/>
          <w:color w:val="auto"/>
        </w:rPr>
      </w:pPr>
    </w:p>
    <w:p>
      <w:pPr>
        <w:ind w:right="3479" w:firstLine="769"/>
        <w:spacing w:after="0" w:line="249" w:lineRule="auto"/>
        <w:rPr>
          <w:sz w:val="20"/>
          <w:szCs w:val="20"/>
          <w:color w:val="auto"/>
        </w:rPr>
      </w:pPr>
      <w:r>
        <w:rPr>
          <w:rFonts w:ascii="Courier New" w:cs="Courier New" w:eastAsia="Courier New" w:hAnsi="Courier New"/>
          <w:sz w:val="14"/>
          <w:szCs w:val="14"/>
          <w:color w:val="auto"/>
        </w:rPr>
        <w:t>SECTION 15. SUCCESSORS AND ASSIGNS. Each reference herein to the Note Purchasers shall be deemed to include each Note Purchaser's successors and assigns (including, but not by way of limitation, any subsequent holder or Transferee of any Notes or the Obligations) in whose favor the provisions of this Guaranty Agreement shall also inure, and each reference herein to the Guarantor shall be deemed to include the Guarantor's successors and assigns, upon whom this Guaranty Agreement shall also be binding.</w:t>
      </w:r>
    </w:p>
    <w:p>
      <w:pPr>
        <w:spacing w:after="0" w:line="163" w:lineRule="exact"/>
        <w:rPr>
          <w:sz w:val="20"/>
          <w:szCs w:val="20"/>
          <w:color w:val="auto"/>
        </w:rPr>
      </w:pPr>
    </w:p>
    <w:p>
      <w:pPr>
        <w:ind w:right="3479" w:firstLine="769"/>
        <w:spacing w:after="0" w:line="251" w:lineRule="auto"/>
        <w:rPr>
          <w:sz w:val="20"/>
          <w:szCs w:val="20"/>
          <w:color w:val="auto"/>
        </w:rPr>
      </w:pPr>
      <w:r>
        <w:rPr>
          <w:rFonts w:ascii="Courier New" w:cs="Courier New" w:eastAsia="Courier New" w:hAnsi="Courier New"/>
          <w:sz w:val="14"/>
          <w:szCs w:val="14"/>
          <w:color w:val="auto"/>
        </w:rPr>
        <w:t>SECTION 16. AMENDMENTS. This Guaranty Agreement may not be amended or waived except in a writing signed by the Required Holders and the Guarantor.</w:t>
      </w:r>
    </w:p>
    <w:p>
      <w:pPr>
        <w:spacing w:after="0" w:line="161"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SECTION 17. PAYMENTS. All payments made by the Guarantor pursuant to this Guaranty Agreement shall be made in the lawful currency of the United States, in immediately available funds to the account of the Note Purchasers and as identified in the Purchaser Schedule to the Agreement, not later than 11:00 a.m. New York time on the date one Business Day after demand therefor. All notices or demands to the Guarantor shall be in writing and shall be telecopied, mailed or hand delivered to the address for the Guarantor set forth below.</w:t>
      </w:r>
    </w:p>
    <w:p>
      <w:pPr>
        <w:spacing w:after="0" w:line="163" w:lineRule="exact"/>
        <w:rPr>
          <w:sz w:val="20"/>
          <w:szCs w:val="20"/>
          <w:color w:val="auto"/>
        </w:rPr>
      </w:pPr>
    </w:p>
    <w:p>
      <w:pPr>
        <w:ind w:right="3319" w:firstLine="769"/>
        <w:spacing w:after="0" w:line="249" w:lineRule="auto"/>
        <w:rPr>
          <w:sz w:val="20"/>
          <w:szCs w:val="20"/>
          <w:color w:val="auto"/>
        </w:rPr>
      </w:pPr>
      <w:r>
        <w:rPr>
          <w:rFonts w:ascii="Courier New" w:cs="Courier New" w:eastAsia="Courier New" w:hAnsi="Courier New"/>
          <w:sz w:val="14"/>
          <w:szCs w:val="14"/>
          <w:color w:val="auto"/>
        </w:rPr>
        <w:t>SECTION 18. SEVERABILITY. In case any provision of this Guaranty Agreement shall be invalid, illegal or unenforceable, the validity, legality and enforceability of the remaining provisions shall not in any way be affected or impaired thereby and the Guarantor shall use its best efforts to replace such provision.</w:t>
      </w:r>
    </w:p>
    <w:p>
      <w:pPr>
        <w:spacing w:after="0" w:line="163" w:lineRule="exact"/>
        <w:rPr>
          <w:sz w:val="20"/>
          <w:szCs w:val="20"/>
          <w:color w:val="auto"/>
        </w:rPr>
      </w:pPr>
    </w:p>
    <w:p>
      <w:pPr>
        <w:jc w:val="both"/>
        <w:ind w:right="3399" w:firstLine="769"/>
        <w:spacing w:after="0" w:line="250" w:lineRule="auto"/>
        <w:rPr>
          <w:sz w:val="20"/>
          <w:szCs w:val="20"/>
          <w:color w:val="auto"/>
        </w:rPr>
      </w:pPr>
      <w:r>
        <w:rPr>
          <w:rFonts w:ascii="Courier New" w:cs="Courier New" w:eastAsia="Courier New" w:hAnsi="Courier New"/>
          <w:sz w:val="14"/>
          <w:szCs w:val="14"/>
          <w:color w:val="auto"/>
        </w:rPr>
        <w:t>SECTION 19. HEADINGS. Section headings used in this Guaranty Agreement are for convenience only and shall not affect the construction of this Guaranty Agreement.</w:t>
      </w:r>
    </w:p>
    <w:p>
      <w:pPr>
        <w:spacing w:after="0" w:line="162" w:lineRule="exact"/>
        <w:rPr>
          <w:sz w:val="20"/>
          <w:szCs w:val="20"/>
          <w:color w:val="auto"/>
        </w:rPr>
      </w:pPr>
    </w:p>
    <w:p>
      <w:pPr>
        <w:jc w:val="both"/>
        <w:ind w:right="3399" w:firstLine="769"/>
        <w:spacing w:after="0" w:line="251" w:lineRule="auto"/>
        <w:rPr>
          <w:sz w:val="20"/>
          <w:szCs w:val="20"/>
          <w:color w:val="auto"/>
        </w:rPr>
      </w:pPr>
      <w:r>
        <w:rPr>
          <w:rFonts w:ascii="Courier New" w:cs="Courier New" w:eastAsia="Courier New" w:hAnsi="Courier New"/>
          <w:sz w:val="14"/>
          <w:szCs w:val="14"/>
          <w:color w:val="auto"/>
        </w:rPr>
        <w:t>SECTION 20. DEFINITIONS. Terms used herein and not defined herein have their respective defined meanings as set forth in the Agreement.</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E-4</w:t>
      </w:r>
    </w:p>
    <w:p>
      <w:pPr>
        <w:sectPr>
          <w:pgSz w:w="11900" w:h="16838" w:orient="portrait"/>
          <w:cols w:equalWidth="0" w:num="1">
            <w:col w:w="10159"/>
          </w:cols>
          <w:pgMar w:left="300" w:top="612" w:right="1440" w:bottom="1440" w:gutter="0" w:footer="0" w:header="0"/>
        </w:sectPr>
      </w:pPr>
    </w:p>
    <w:bookmarkStart w:id="150" w:name="page151"/>
    <w:bookmarkEnd w:id="150"/>
    <w:p>
      <w:pPr>
        <w:ind w:right="3399" w:firstLine="769"/>
        <w:spacing w:after="0" w:line="251" w:lineRule="auto"/>
        <w:rPr>
          <w:sz w:val="20"/>
          <w:szCs w:val="20"/>
          <w:color w:val="auto"/>
        </w:rPr>
      </w:pPr>
      <w:r>
        <w:rPr>
          <w:rFonts w:ascii="Courier New" w:cs="Courier New" w:eastAsia="Courier New" w:hAnsi="Courier New"/>
          <w:sz w:val="14"/>
          <w:szCs w:val="14"/>
          <w:color w:val="auto"/>
        </w:rPr>
        <w:t>IN WITNESS WHEREOF, the Guarantor has duly executed and delivered this Guaranty Agreement as of the date and year first written above.</w:t>
      </w:r>
    </w:p>
    <w:p>
      <w:pPr>
        <w:spacing w:after="0" w:line="161"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[NAME OF SUBSIDIARY]</w:t>
      </w:r>
    </w:p>
    <w:p>
      <w:pPr>
        <w:spacing w:after="0" w:line="170"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Name:</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Title:</w:t>
      </w:r>
    </w:p>
    <w:p>
      <w:pPr>
        <w:spacing w:after="0" w:line="170"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Address for Notices:</w:t>
      </w:r>
    </w:p>
    <w:p>
      <w:pPr>
        <w:spacing w:after="0" w:line="170"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c/o Watsco, Inc.</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2665 South Bayshore Drive, Suite 901</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Coconut Grove, Florida 33133</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Attention:__________________________</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Telephone:__________________________</w:t>
      </w:r>
    </w:p>
    <w:p>
      <w:pPr>
        <w:spacing w:after="0" w:line="200" w:lineRule="exact"/>
        <w:rPr>
          <w:sz w:val="20"/>
          <w:szCs w:val="20"/>
          <w:color w:val="auto"/>
        </w:rPr>
      </w:pPr>
    </w:p>
    <w:p>
      <w:pPr>
        <w:spacing w:after="0" w:line="29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E-5</w:t>
      </w:r>
    </w:p>
    <w:p>
      <w:pPr>
        <w:sectPr>
          <w:pgSz w:w="11900" w:h="16838" w:orient="portrait"/>
          <w:cols w:equalWidth="0" w:num="1">
            <w:col w:w="10159"/>
          </w:cols>
          <w:pgMar w:left="300" w:top="612" w:right="1440" w:bottom="1440" w:gutter="0" w:footer="0" w:header="0"/>
        </w:sectPr>
      </w:pPr>
    </w:p>
    <w:bookmarkStart w:id="151" w:name="page152"/>
    <w:bookmarkEnd w:id="151"/>
    <w:p>
      <w:pPr>
        <w:ind w:left="5980"/>
        <w:spacing w:after="0"/>
        <w:rPr>
          <w:sz w:val="20"/>
          <w:szCs w:val="20"/>
          <w:color w:val="auto"/>
        </w:rPr>
      </w:pPr>
      <w:r>
        <w:rPr>
          <w:rFonts w:ascii="Courier New" w:cs="Courier New" w:eastAsia="Courier New" w:hAnsi="Courier New"/>
          <w:sz w:val="14"/>
          <w:szCs w:val="14"/>
          <w:color w:val="auto"/>
        </w:rPr>
        <w:t>EXHIBIT 21</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REGISTRANT'S SUBSIDIARIES</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following table sets forth, at March 30, 2000, the Registrant's significant operating subsidiaries and other associated companies and their respective incorporation jurisdictions. The Registrant owns 100% of the voting securities of each of the subsidiaries listed below. There are no subsidiaries not listed in the table, which would, in the aggregate, be considered significant.</w:t>
      </w:r>
    </w:p>
    <w:p>
      <w:pPr>
        <w:sectPr>
          <w:pgSz w:w="11900" w:h="16838" w:orient="portrait"/>
          <w:cols w:equalWidth="0" w:num="1">
            <w:col w:w="10159"/>
          </w:cols>
          <w:pgMar w:left="30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ACTIVE SUBSIDIARIES: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STATE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w:t>
      </w:r>
    </w:p>
    <w:p>
      <w:pPr>
        <w:spacing w:after="0" w:line="200" w:lineRule="exact"/>
        <w:rPr>
          <w:sz w:val="20"/>
          <w:szCs w:val="20"/>
          <w:color w:val="auto"/>
        </w:rPr>
      </w:pPr>
    </w:p>
    <w:p>
      <w:pPr>
        <w:sectPr>
          <w:pgSz w:w="11900" w:h="16838" w:orient="portrait"/>
          <w:cols w:equalWidth="0" w:num="2">
            <w:col w:w="6560" w:space="720"/>
            <w:col w:w="2879"/>
          </w:cols>
          <w:pgMar w:left="300" w:top="305" w:right="1440" w:bottom="1440" w:gutter="0" w:footer="0" w:header="0"/>
          <w:type w:val="continuous"/>
        </w:sectPr>
      </w:pPr>
    </w:p>
    <w:p>
      <w:pPr>
        <w:spacing w:after="0" w:line="13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Distribution:</w:t>
      </w:r>
    </w:p>
    <w:p>
      <w:pPr>
        <w:sectPr>
          <w:pgSz w:w="11900" w:h="16838" w:orient="portrait"/>
          <w:cols w:equalWidth="0" w:num="1">
            <w:col w:w="10159"/>
          </w:cols>
          <w:pgMar w:left="300" w:top="305" w:right="1440" w:bottom="1440" w:gutter="0" w:footer="0" w:header="0"/>
          <w:type w:val="continuous"/>
        </w:sectPr>
      </w:pP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A&amp;C Distributors, Inc. (d/b/a Comfortmaker Distribution)</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Air Supply,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Air Systems Distributors,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Ambient Air,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Atlantic Air,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Baker Distributing Co.</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Central Air Conditioning Distributors,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Coastline Distribution,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Comfort-Aire Distributors,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Comfort Cooling Supply,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Comfort Supply,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Coolnet,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Carolina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w:t>
      </w:r>
    </w:p>
    <w:p>
      <w:pPr>
        <w:spacing w:after="0" w:line="6" w:lineRule="exact"/>
        <w:rPr>
          <w:sz w:val="20"/>
          <w:szCs w:val="20"/>
          <w:color w:val="auto"/>
        </w:rPr>
      </w:pPr>
    </w:p>
    <w:p>
      <w:pPr>
        <w:sectPr>
          <w:pgSz w:w="11900" w:h="16838" w:orient="portrait"/>
          <w:cols w:equalWidth="0" w:num="2">
            <w:col w:w="6800" w:space="720"/>
            <w:col w:w="2639"/>
          </w:cols>
          <w:pgMar w:left="300" w:top="30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CP Distributors, Inc. (d/b/a Central Plains Distributing</w:t>
      </w:r>
    </w:p>
    <w:p>
      <w:pPr>
        <w:sectPr>
          <w:pgSz w:w="11900" w:h="16838" w:orient="portrait"/>
          <w:cols w:equalWidth="0" w:num="1">
            <w:col w:w="10159"/>
          </w:cols>
          <w:pgMar w:left="300" w:top="305" w:right="1440" w:bottom="1440" w:gutter="0" w:footer="0" w:header="0"/>
          <w:type w:val="continuous"/>
        </w:sectPr>
      </w:pP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and Comfort Products Distributing)</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Gemaire Distributors,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GMC Distributors (d/b/a Kingairc)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H.B. Adams Distributors,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Heat,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Heating &amp; Cooling Supply,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Homans Associates,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Kaufman Supply,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NSI Supply,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Superior Supply Company,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Superior Supply Company of Oklahoma,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Three States Supply Company,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Watsco Investments I,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Watsco Investment II,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Weathertrol Supply Company</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William Wurzbach Co.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WSO Distributors,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Hampshire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Massachusetts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Nevada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Kansas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Kansas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Carolina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Nevada</w:t>
      </w:r>
    </w:p>
    <w:p>
      <w:pPr>
        <w:spacing w:after="0" w:line="170" w:lineRule="exact"/>
        <w:rPr>
          <w:sz w:val="20"/>
          <w:szCs w:val="20"/>
          <w:color w:val="auto"/>
        </w:rPr>
      </w:pPr>
    </w:p>
    <w:p>
      <w:pPr>
        <w:sectPr>
          <w:pgSz w:w="11900" w:h="16838" w:orient="portrait"/>
          <w:cols w:equalWidth="0" w:num="2">
            <w:col w:w="6800" w:space="720"/>
            <w:col w:w="2639"/>
          </w:cols>
          <w:pgMar w:left="300" w:top="30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Personnel Services:</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Dunhill Personnel System of New Jersey,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Dunhill Staffing Systems,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Dunhill Staffing Systems of Milwaukee,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Dunhill Temporary Systems, Inc.</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Dunhill Temporary Systems of Indianapolis, Inc.</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Jersey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Wisconsin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Indiana</w:t>
      </w:r>
    </w:p>
    <w:p>
      <w:pPr>
        <w:sectPr>
          <w:pgSz w:w="11900" w:h="16838" w:orient="portrait"/>
          <w:cols w:equalWidth="0" w:num="2">
            <w:col w:w="6800" w:space="720"/>
            <w:col w:w="2639"/>
          </w:cols>
          <w:pgMar w:left="300" w:top="305" w:right="1440" w:bottom="1440" w:gutter="0" w:footer="0" w:header="0"/>
          <w:type w:val="continuous"/>
        </w:sectPr>
      </w:pPr>
    </w:p>
    <w:bookmarkStart w:id="152" w:name="page153"/>
    <w:bookmarkEnd w:id="152"/>
    <w:p>
      <w:pPr>
        <w:jc w:val="right"/>
        <w:ind w:right="3319"/>
        <w:spacing w:after="0"/>
        <w:rPr>
          <w:sz w:val="20"/>
          <w:szCs w:val="20"/>
          <w:color w:val="auto"/>
        </w:rPr>
      </w:pPr>
      <w:r>
        <w:rPr>
          <w:rFonts w:ascii="Courier New" w:cs="Courier New" w:eastAsia="Courier New" w:hAnsi="Courier New"/>
          <w:sz w:val="14"/>
          <w:szCs w:val="14"/>
          <w:color w:val="auto"/>
        </w:rPr>
        <w:t>EXHIBIT 23</w:t>
      </w:r>
    </w:p>
    <w:p>
      <w:pPr>
        <w:spacing w:after="0" w:line="170"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CONSENT OF INDEPENDENT CERTIFIED PUBLIC ACCOUNTANTS</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As independent certified public accountants, we hereby consent to the incorporation of our reports included in this Form l0-K, into the Company's previously filed Registration Statements on Form S-3 (Nos. 33-7758, 33-37982, 333-00371, 333-01441 and 333-19803) and in the Registration Statements on Form S-8 (Nos. 33-6229, 33-72798, 333-10363, 333-80341 and 333-82011).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Miami, 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2000.</w:t>
      </w:r>
    </w:p>
    <w:p>
      <w:pPr>
        <w:sectPr>
          <w:pgSz w:w="11900" w:h="16838" w:orient="portrait"/>
          <w:cols w:equalWidth="0" w:num="1">
            <w:col w:w="10159"/>
          </w:cols>
          <w:pgMar w:left="300" w:top="142" w:right="1440" w:bottom="1440" w:gutter="0" w:footer="0" w:header="0"/>
        </w:sectPr>
      </w:pPr>
    </w:p>
    <w:bookmarkStart w:id="153" w:name="page154"/>
    <w:bookmarkEnd w:id="153"/>
    <w:p>
      <w:pPr>
        <w:ind w:left="80"/>
        <w:spacing w:after="0"/>
        <w:rPr>
          <w:sz w:val="20"/>
          <w:szCs w:val="20"/>
          <w:color w:val="auto"/>
        </w:rPr>
      </w:pPr>
      <w:r>
        <w:rPr>
          <w:rFonts w:ascii="Courier New" w:cs="Courier New" w:eastAsia="Courier New" w:hAnsi="Courier New"/>
          <w:sz w:val="14"/>
          <w:szCs w:val="14"/>
          <w:color w:val="auto"/>
        </w:rPr>
        <w:t>5</w:t>
      </w:r>
    </w:p>
    <w:p>
      <w:pPr>
        <w:spacing w:after="0" w:line="170" w:lineRule="exact"/>
        <w:rPr>
          <w:sz w:val="20"/>
          <w:szCs w:val="20"/>
          <w:color w:val="auto"/>
        </w:rPr>
      </w:pPr>
    </w:p>
    <w:p>
      <w:pPr>
        <w:jc w:val="both"/>
        <w:ind w:right="3379"/>
        <w:spacing w:after="0" w:line="250" w:lineRule="auto"/>
        <w:rPr>
          <w:sz w:val="20"/>
          <w:szCs w:val="20"/>
          <w:color w:val="auto"/>
        </w:rPr>
      </w:pPr>
      <w:r>
        <w:rPr>
          <w:rFonts w:ascii="Courier New" w:cs="Courier New" w:eastAsia="Courier New" w:hAnsi="Courier New"/>
          <w:sz w:val="14"/>
          <w:szCs w:val="14"/>
          <w:color w:val="auto"/>
        </w:rPr>
        <w:t>THIS SCHEDULE CONTAINS SUMMARY FINANCIAL INFORMATION EXTRACTED FROM THE WATSCO, INC. FORM 10-K FOR THE FISCAL YEAR ENDED DECEMBER 31, 1999 AND IS QUALIFIED IN ITS ENTIRETY BY REFERENCE TO SUCH FINANCIAL STATEMENTS.</w:t>
      </w:r>
    </w:p>
    <w:p>
      <w:pPr>
        <w:spacing w:after="0" w:line="16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1,000</w:t>
      </w:r>
    </w:p>
    <w:p>
      <w:pPr>
        <w:spacing w:after="0" w:line="33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12-MOS</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DEC-31-1999</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DEC-31-1999</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7,484</w:t>
      </w:r>
    </w:p>
    <w:p>
      <w:pPr>
        <w:spacing w:after="0" w:line="6"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170,563</w:t>
      </w:r>
    </w:p>
    <w:p>
      <w:pPr>
        <w:spacing w:after="0" w:line="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5,564</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223,887</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18,699</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66,823</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35,396</w:t>
      </w:r>
    </w:p>
    <w:p>
      <w:pPr>
        <w:spacing w:after="0" w:line="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588,906</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122,807</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4,415</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14,627</w:t>
      </w:r>
    </w:p>
    <w:p>
      <w:pPr>
        <w:spacing w:after="0" w:line="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287,089</w:t>
      </w:r>
    </w:p>
    <w:p>
      <w:pPr>
        <w:spacing w:after="0" w:line="6"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588,906</w:t>
      </w:r>
    </w:p>
    <w:p>
      <w:pPr>
        <w:spacing w:after="0" w:line="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1,246,272</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1,246,272</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954,434</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954,434</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229,010</w:t>
      </w:r>
    </w:p>
    <w:p>
      <w:pPr>
        <w:spacing w:after="0" w:line="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3,389</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12,939</w:t>
      </w:r>
    </w:p>
    <w:p>
      <w:pPr>
        <w:spacing w:after="0" w:line="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46,796</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17,315</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29,481</w:t>
      </w:r>
    </w:p>
    <w:p>
      <w:pPr>
        <w:spacing w:after="0" w:line="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29,481</w:t>
      </w:r>
    </w:p>
    <w:p>
      <w:pPr>
        <w:spacing w:after="0" w:line="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1.03</w:t>
      </w:r>
    </w:p>
    <w:p>
      <w:pPr>
        <w:spacing w:after="0" w:line="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0.99</w:t>
      </w:r>
    </w:p>
    <w:sectPr>
      <w:pgSz w:w="11900" w:h="16838" w:orient="portrait"/>
      <w:cols w:equalWidth="0" w:num="1">
        <w:col w:w="10139"/>
      </w:cols>
      <w:pgMar w:left="320" w:top="6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1]"/>
      <w:numFmt w:val="upperLetter"/>
      <w:start w:val="24"/>
    </w:lvl>
  </w:abstractNum>
  <w:abstractNum w:abstractNumId="1">
    <w:nsid w:val="6B94764"/>
    <w:multiLevelType w:val="hybridMultilevel"/>
    <w:lvl w:ilvl="0">
      <w:lvlJc w:val="left"/>
      <w:lvlText w:val="%1)"/>
      <w:numFmt w:val="decimal"/>
      <w:start w:val="13"/>
    </w:lvl>
  </w:abstractNum>
  <w:abstractNum w:abstractNumId="2">
    <w:nsid w:val="42C296BD"/>
    <w:multiLevelType w:val="hybridMultilevel"/>
    <w:lvl w:ilvl="0">
      <w:lvlJc w:val="left"/>
      <w:lvlText w:val="(%1)"/>
      <w:numFmt w:val="lowerRoman"/>
      <w:start w:val="3"/>
    </w:lvl>
  </w:abstractNum>
  <w:abstractNum w:abstractNumId="3">
    <w:nsid w:val="168E121F"/>
    <w:multiLevelType w:val="hybridMultilevel"/>
    <w:lvl w:ilvl="0">
      <w:lvlJc w:val="left"/>
      <w:lvlText w:val="(%1)"/>
      <w:numFmt w:val="decimal"/>
      <w:start w:val="305"/>
    </w:lvl>
  </w:abstractNum>
  <w:abstractNum w:abstractNumId="4">
    <w:nsid w:val="1EBA5D23"/>
    <w:multiLevelType w:val="hybridMultilevel"/>
    <w:lvl w:ilvl="0">
      <w:lvlJc w:val="left"/>
      <w:lvlText w:val="(%1)"/>
      <w:numFmt w:val="lowerRoman"/>
      <w:start w:val="2"/>
    </w:lvl>
  </w:abstractNum>
  <w:abstractNum w:abstractNumId="5">
    <w:nsid w:val="661E3F1E"/>
    <w:multiLevelType w:val="hybridMultilevel"/>
    <w:lvl w:ilvl="0">
      <w:lvlJc w:val="left"/>
      <w:lvlText w:val="-"/>
      <w:numFmt w:val="bullet"/>
      <w:start w:val="1"/>
    </w:lvl>
    <w:lvl w:ilvl="1">
      <w:lvlJc w:val="left"/>
      <w:lvlText w:val="*"/>
      <w:numFmt w:val="bullet"/>
      <w:start w:val="1"/>
    </w:lvl>
  </w:abstractNum>
  <w:abstractNum w:abstractNumId="6">
    <w:nsid w:val="5DC79EA8"/>
    <w:multiLevelType w:val="hybridMultilevel"/>
    <w:lvl w:ilvl="0">
      <w:lvlJc w:val="left"/>
      <w:lvlText w:val="(%1)"/>
      <w:numFmt w:val="lowerLetter"/>
      <w:start w:val="1"/>
    </w:lvl>
  </w:abstractNum>
  <w:abstractNum w:abstractNumId="7">
    <w:nsid w:val="540A471C"/>
    <w:multiLevelType w:val="hybridMultilevel"/>
    <w:lvl w:ilvl="0">
      <w:lvlJc w:val="left"/>
      <w:lvlText w:val="(%1)"/>
      <w:numFmt w:val="decimal"/>
      <w:start w:val="1"/>
    </w:lvl>
  </w:abstractNum>
  <w:abstractNum w:abstractNumId="8">
    <w:nsid w:val="7BD3EE7B"/>
    <w:multiLevelType w:val="hybridMultilevel"/>
    <w:lvl w:ilvl="0">
      <w:lvlJc w:val="left"/>
      <w:lvlText w:val="(%1)"/>
      <w:numFmt w:val="decimal"/>
      <w:start w:val="2"/>
    </w:lvl>
  </w:abstractNum>
  <w:abstractNum w:abstractNumId="9">
    <w:nsid w:val="51D9C564"/>
    <w:multiLevelType w:val="hybridMultilevel"/>
    <w:lvl w:ilvl="0">
      <w:lvlJc w:val="left"/>
      <w:lvlText w:val="%1."/>
      <w:numFmt w:val="decimal"/>
      <w:start w:val="13"/>
    </w:lvl>
  </w:abstractNum>
  <w:abstractNum w:abstractNumId="10">
    <w:nsid w:val="613EFDC5"/>
    <w:multiLevelType w:val="hybridMultilevel"/>
    <w:lvl w:ilvl="0">
      <w:lvlJc w:val="left"/>
      <w:lvlText w:val="%1."/>
      <w:numFmt w:val="decimal"/>
      <w:start w:val="21"/>
    </w:lvl>
  </w:abstractNum>
  <w:abstractNum w:abstractNumId="11">
    <w:nsid w:val="BF72B14"/>
    <w:multiLevelType w:val="hybridMultilevel"/>
    <w:lvl w:ilvl="0">
      <w:lvlJc w:val="left"/>
      <w:lvlText w:val="%1."/>
      <w:numFmt w:val="decimal"/>
      <w:start w:val="23"/>
    </w:lvl>
  </w:abstractNum>
  <w:abstractNum w:abstractNumId="12">
    <w:nsid w:val="11447B73"/>
    <w:multiLevelType w:val="hybridMultilevel"/>
    <w:lvl w:ilvl="0">
      <w:lvlJc w:val="left"/>
      <w:lvlText w:val="%1"/>
      <w:numFmt w:val="lowerLetter"/>
      <w:start w:val="1"/>
    </w:lvl>
    <w:lvl w:ilvl="1">
      <w:lvlJc w:val="left"/>
      <w:lvlText w:val="%2."/>
      <w:numFmt w:val="decimal"/>
      <w:start w:val="27"/>
    </w:lvl>
  </w:abstractNum>
  <w:abstractNum w:abstractNumId="13">
    <w:nsid w:val="42963E5A"/>
    <w:multiLevelType w:val="hybridMultilevel"/>
    <w:lvl w:ilvl="0">
      <w:lvlJc w:val="left"/>
      <w:lvlText w:val="(%1)"/>
      <w:numFmt w:val="lowerLetter"/>
      <w:start w:val="2"/>
    </w:lvl>
    <w:lvl w:ilvl="1">
      <w:lvlJc w:val="left"/>
      <w:lvlText w:val="%2"/>
      <w:numFmt w:val="decimal"/>
      <w:start w:val="1"/>
    </w:lvl>
  </w:abstractNum>
  <w:abstractNum w:abstractNumId="14">
    <w:nsid w:val="A0382C5"/>
    <w:multiLevelType w:val="hybridMultilevel"/>
    <w:lvl w:ilvl="0">
      <w:lvlJc w:val="left"/>
      <w:lvlText w:val="(%1)"/>
      <w:numFmt w:val="decimal"/>
      <w:start w:val="1"/>
    </w:lvl>
  </w:abstractNum>
  <w:abstractNum w:abstractNumId="15">
    <w:nsid w:val="8F2B15E"/>
    <w:multiLevelType w:val="hybridMultilevel"/>
    <w:lvl w:ilvl="0">
      <w:lvlJc w:val="left"/>
      <w:lvlText w:val="(%1)"/>
      <w:numFmt w:val="decimal"/>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1."/>
      <w:numFmt w:val="decimal"/>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1."/>
      <w:numFmt w:val="decimal"/>
      <w:start w:val="2"/>
    </w:lvl>
  </w:abstractNum>
  <w:abstractNum w:abstractNumId="29">
    <w:nsid w:val="6F6DD9AC"/>
    <w:multiLevelType w:val="hybridMultilevel"/>
    <w:lvl w:ilvl="0">
      <w:lvlJc w:val="left"/>
      <w:lvlText w:val="%1."/>
      <w:numFmt w:val="decimal"/>
      <w:start w:val="3"/>
    </w:lvl>
  </w:abstractNum>
  <w:abstractNum w:abstractNumId="30">
    <w:nsid w:val="94211F2"/>
    <w:multiLevelType w:val="hybridMultilevel"/>
    <w:lvl w:ilvl="0">
      <w:lvlJc w:val="left"/>
      <w:lvlText w:val="%1."/>
      <w:numFmt w:val="decimal"/>
      <w:start w:val="4"/>
    </w:lvl>
  </w:abstractNum>
  <w:abstractNum w:abstractNumId="31">
    <w:nsid w:val="885E1B"/>
    <w:multiLevelType w:val="hybridMultilevel"/>
    <w:lvl w:ilvl="0">
      <w:lvlJc w:val="left"/>
      <w:lvlText w:val="%1."/>
      <w:numFmt w:val="decimal"/>
      <w:start w:val="5"/>
    </w:lvl>
  </w:abstractNum>
  <w:abstractNum w:abstractNumId="32">
    <w:nsid w:val="76272110"/>
    <w:multiLevelType w:val="hybridMultilevel"/>
    <w:lvl w:ilvl="0">
      <w:lvlJc w:val="left"/>
      <w:lvlText w:val="%1."/>
      <w:numFmt w:val="decimal"/>
      <w:start w:val="6"/>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1."/>
      <w:numFmt w:val="decimal"/>
      <w:start w:val="7"/>
    </w:lvl>
  </w:abstractNum>
  <w:abstractNum w:abstractNumId="38">
    <w:nsid w:val="68EBC550"/>
    <w:multiLevelType w:val="hybridMultilevel"/>
    <w:lvl w:ilvl="0">
      <w:lvlJc w:val="left"/>
      <w:lvlText w:val="%1."/>
      <w:numFmt w:val="decimal"/>
      <w:start w:val="8"/>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1."/>
      <w:numFmt w:val="decimal"/>
      <w:start w:val="9"/>
    </w:lvl>
  </w:abstractNum>
  <w:abstractNum w:abstractNumId="41">
    <w:nsid w:val="4A2AC315"/>
    <w:multiLevelType w:val="hybridMultilevel"/>
    <w:lvl w:ilvl="0">
      <w:lvlJc w:val="left"/>
      <w:lvlText w:val="%1."/>
      <w:numFmt w:val="decimal"/>
      <w:start w:val="10"/>
    </w:lvl>
  </w:abstractNum>
  <w:abstractNum w:abstractNumId="42">
    <w:nsid w:val="39EE015C"/>
    <w:multiLevelType w:val="hybridMultilevel"/>
    <w:lvl w:ilvl="0">
      <w:lvlJc w:val="left"/>
      <w:lvlText w:val="%1."/>
      <w:numFmt w:val="decimal"/>
      <w:start w:val="11"/>
    </w:lvl>
  </w:abstractNum>
  <w:abstractNum w:abstractNumId="43">
    <w:nsid w:val="57FC4FBB"/>
    <w:multiLevelType w:val="hybridMultilevel"/>
    <w:lvl w:ilvl="0">
      <w:lvlJc w:val="left"/>
      <w:lvlText w:val="%1."/>
      <w:numFmt w:val="decimal"/>
      <w:start w:val="12"/>
    </w:lvl>
  </w:abstractNum>
  <w:abstractNum w:abstractNumId="44">
    <w:nsid w:val="CC1016F"/>
    <w:multiLevelType w:val="hybridMultilevel"/>
    <w:lvl w:ilvl="0">
      <w:lvlJc w:val="left"/>
      <w:lvlText w:val="%1."/>
      <w:numFmt w:val="decimal"/>
      <w:start w:val="13"/>
    </w:lvl>
  </w:abstractNum>
  <w:abstractNum w:abstractNumId="45">
    <w:nsid w:val="43F18422"/>
    <w:multiLevelType w:val="hybridMultilevel"/>
    <w:lvl w:ilvl="0">
      <w:lvlJc w:val="left"/>
      <w:lvlText w:val="(%1)"/>
      <w:numFmt w:val="decimal"/>
      <w:start w:val="1"/>
    </w:lvl>
  </w:abstractNum>
  <w:abstractNum w:abstractNumId="46">
    <w:nsid w:val="60EF0119"/>
    <w:multiLevelType w:val="hybridMultilevel"/>
    <w:lvl w:ilvl="0">
      <w:lvlJc w:val="left"/>
      <w:lvlText w:val="%1."/>
      <w:numFmt w:val="decimal"/>
      <w:start w:val="21"/>
    </w:lvl>
  </w:abstractNum>
  <w:abstractNum w:abstractNumId="47">
    <w:nsid w:val="26F324BA"/>
    <w:multiLevelType w:val="hybridMultilevel"/>
    <w:lvl w:ilvl="0">
      <w:lvlJc w:val="left"/>
      <w:lvlText w:val="%1."/>
      <w:numFmt w:val="decimal"/>
      <w:start w:val="23"/>
    </w:lvl>
  </w:abstractNum>
  <w:abstractNum w:abstractNumId="48">
    <w:nsid w:val="7F01579B"/>
    <w:multiLevelType w:val="hybridMultilevel"/>
    <w:lvl w:ilvl="0">
      <w:lvlJc w:val="left"/>
      <w:lvlText w:val="%1."/>
      <w:numFmt w:val="decimal"/>
      <w:start w:val="27"/>
    </w:lvl>
  </w:abstractNum>
  <w:abstractNum w:abstractNumId="49">
    <w:nsid w:val="49DA307D"/>
    <w:multiLevelType w:val="hybridMultilevel"/>
    <w:lvl w:ilvl="0">
      <w:lvlJc w:val="left"/>
      <w:lvlText w:val="%1."/>
      <w:numFmt w:val="decimal"/>
      <w:start w:val="1"/>
    </w:lvl>
  </w:abstractNum>
  <w:abstractNum w:abstractNumId="50">
    <w:nsid w:val="7055A5F5"/>
    <w:multiLevelType w:val="hybridMultilevel"/>
    <w:lvl w:ilvl="0">
      <w:lvlJc w:val="left"/>
      <w:lvlText w:val="%1."/>
      <w:numFmt w:val="decimal"/>
      <w:start w:val="3"/>
    </w:lvl>
    <w:lvl w:ilvl="1">
      <w:lvlJc w:val="left"/>
      <w:lvlText w:val="(%2)"/>
      <w:numFmt w:val="lowerLetter"/>
      <w:start w:val="1"/>
    </w:lvl>
  </w:abstractNum>
  <w:abstractNum w:abstractNumId="51">
    <w:nsid w:val="5FB8370B"/>
    <w:multiLevelType w:val="hybridMultilevel"/>
    <w:lvl w:ilvl="0">
      <w:lvlJc w:val="left"/>
      <w:lvlText w:val="%1."/>
      <w:numFmt w:val="decimal"/>
      <w:start w:val="6"/>
    </w:lvl>
  </w:abstractNum>
  <w:abstractNum w:abstractNumId="52">
    <w:nsid w:val="50801EE1"/>
    <w:multiLevelType w:val="hybridMultilevel"/>
    <w:lvl w:ilvl="0">
      <w:lvlJc w:val="left"/>
      <w:lvlText w:val="%1."/>
      <w:numFmt w:val="decimal"/>
      <w:start w:val="7"/>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1."/>
      <w:numFmt w:val="decimal"/>
      <w:start w:val="1"/>
    </w:lvl>
  </w:abstractNum>
  <w:abstractNum w:abstractNumId="55">
    <w:nsid w:val="6AA78F7F"/>
    <w:multiLevelType w:val="hybridMultilevel"/>
    <w:lvl w:ilvl="0">
      <w:lvlJc w:val="left"/>
      <w:lvlText w:val="(%1)"/>
      <w:numFmt w:val="lowerLetter"/>
      <w:start w:val="1"/>
    </w:lvl>
  </w:abstractNum>
  <w:abstractNum w:abstractNumId="56">
    <w:nsid w:val="7672BD23"/>
    <w:multiLevelType w:val="hybridMultilevel"/>
    <w:lvl w:ilvl="0">
      <w:lvlJc w:val="left"/>
      <w:lvlText w:val="(%1)"/>
      <w:numFmt w:val="lowerRoman"/>
      <w:start w:val="2"/>
    </w:lvl>
  </w:abstractNum>
  <w:abstractNum w:abstractNumId="57">
    <w:nsid w:val="6FC75AF8"/>
    <w:multiLevelType w:val="hybridMultilevel"/>
    <w:lvl w:ilvl="0">
      <w:lvlJc w:val="left"/>
      <w:lvlText w:val="%1."/>
      <w:numFmt w:val="decimal"/>
      <w:start w:val="3"/>
    </w:lvl>
    <w:lvl w:ilvl="1">
      <w:lvlJc w:val="left"/>
      <w:lvlText w:val="(%2)"/>
      <w:numFmt w:val="lowerLetter"/>
      <w:start w:val="1"/>
    </w:lvl>
  </w:abstractNum>
  <w:abstractNum w:abstractNumId="58">
    <w:nsid w:val="6A5F7029"/>
    <w:multiLevelType w:val="hybridMultilevel"/>
    <w:lvl w:ilvl="0">
      <w:lvlJc w:val="left"/>
      <w:lvlText w:val="%1"/>
      <w:numFmt w:val="decimal"/>
      <w:start w:val="1"/>
    </w:lvl>
    <w:lvl w:ilvl="1">
      <w:lvlJc w:val="left"/>
      <w:lvlText w:val="(%2)"/>
      <w:numFmt w:val="lowerLetter"/>
      <w:start w:val="4"/>
    </w:lvl>
  </w:abstractNum>
  <w:abstractNum w:abstractNumId="59">
    <w:nsid w:val="7D5E18F8"/>
    <w:multiLevelType w:val="hybridMultilevel"/>
    <w:lvl w:ilvl="0">
      <w:lvlJc w:val="left"/>
      <w:lvlText w:val="%1."/>
      <w:numFmt w:val="decimal"/>
      <w:start w:val="5"/>
    </w:lvl>
    <w:lvl w:ilvl="1">
      <w:lvlJc w:val="left"/>
      <w:lvlText w:val="%2"/>
      <w:numFmt w:val="lowerLetter"/>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1"/>
      <w:numFmt w:val="lowerRoman"/>
      <w:start w:val="1"/>
    </w:lvl>
    <w:lvl w:ilvl="1">
      <w:lvlJc w:val="left"/>
      <w:lvlText w:val="%2."/>
      <w:numFmt w:val="decimal"/>
      <w:start w:val="1"/>
    </w:lvl>
  </w:abstractNum>
  <w:abstractNum w:abstractNumId="62">
    <w:nsid w:val="7DE67713"/>
    <w:multiLevelType w:val="hybridMultilevel"/>
    <w:lvl w:ilvl="0">
      <w:lvlJc w:val="left"/>
      <w:lvlText w:val="(%1)"/>
      <w:numFmt w:val="lowerRoman"/>
      <w:start w:val="2"/>
    </w:lvl>
    <w:lvl w:ilvl="1">
      <w:lvlJc w:val="left"/>
      <w:lvlText w:val="%2"/>
      <w:numFmt w:val="decimal"/>
      <w:start w:val="1"/>
    </w:lvl>
  </w:abstractNum>
  <w:abstractNum w:abstractNumId="63">
    <w:nsid w:val="555C55B5"/>
    <w:multiLevelType w:val="hybridMultilevel"/>
    <w:lvl w:ilvl="0">
      <w:lvlJc w:val="left"/>
      <w:lvlText w:val="(%1)"/>
      <w:numFmt w:val="lowerRoman"/>
      <w:start w:val="1"/>
    </w:lvl>
  </w:abstractNum>
  <w:abstractNum w:abstractNumId="64">
    <w:nsid w:val="3FA62ACA"/>
    <w:multiLevelType w:val="hybridMultilevel"/>
    <w:lvl w:ilvl="0">
      <w:lvlJc w:val="left"/>
      <w:lvlText w:val="(%1)"/>
      <w:numFmt w:val="lowerRoman"/>
      <w:start w:val="1"/>
    </w:lvl>
  </w:abstractNum>
  <w:abstractNum w:abstractNumId="65">
    <w:nsid w:val="14FCE74E"/>
    <w:multiLevelType w:val="hybridMultilevel"/>
    <w:lvl w:ilvl="0">
      <w:lvlJc w:val="left"/>
      <w:lvlText w:val="%1."/>
      <w:numFmt w:val="decimal"/>
      <w:start w:val="3"/>
    </w:lvl>
  </w:abstractNum>
  <w:abstractNum w:abstractNumId="66">
    <w:nsid w:val="6A3DD3E8"/>
    <w:multiLevelType w:val="hybridMultilevel"/>
    <w:lvl w:ilvl="0">
      <w:lvlJc w:val="left"/>
      <w:lvlText w:val="(%1)"/>
      <w:numFmt w:val="lowerRoman"/>
      <w:start w:val="1"/>
    </w:lvl>
  </w:abstractNum>
  <w:abstractNum w:abstractNumId="67">
    <w:nsid w:val="71C91298"/>
    <w:multiLevelType w:val="hybridMultilevel"/>
    <w:lvl w:ilvl="0">
      <w:lvlJc w:val="left"/>
      <w:lvlText w:val="(%1)"/>
      <w:numFmt w:val="lowerRoman"/>
      <w:start w:val="5"/>
    </w:lvl>
  </w:abstractNum>
  <w:abstractNum w:abstractNumId="68">
    <w:nsid w:val="9DAF632"/>
    <w:multiLevelType w:val="hybridMultilevel"/>
    <w:lvl w:ilvl="0">
      <w:lvlJc w:val="left"/>
      <w:lvlText w:val="(%1)"/>
      <w:numFmt w:val="lowerRoman"/>
      <w:start w:val="8"/>
    </w:lvl>
  </w:abstractNum>
  <w:abstractNum w:abstractNumId="69">
    <w:nsid w:val="53299938"/>
    <w:multiLevelType w:val="hybridMultilevel"/>
    <w:lvl w:ilvl="0">
      <w:lvlJc w:val="left"/>
      <w:lvlText w:val="(%1)"/>
      <w:numFmt w:val="lowerRoman"/>
      <w:start w:val="1"/>
    </w:lvl>
  </w:abstractNum>
  <w:abstractNum w:abstractNumId="70">
    <w:nsid w:val="1FBFE8E0"/>
    <w:multiLevelType w:val="hybridMultilevel"/>
    <w:lvl w:ilvl="0">
      <w:lvlJc w:val="left"/>
      <w:lvlText w:val="(%1)"/>
      <w:numFmt w:val="lowerRoman"/>
      <w:start w:val="5"/>
    </w:lvl>
  </w:abstractNum>
  <w:abstractNum w:abstractNumId="71">
    <w:nsid w:val="5092CA79"/>
    <w:multiLevelType w:val="hybridMultilevel"/>
    <w:lvl w:ilvl="0">
      <w:lvlJc w:val="left"/>
      <w:lvlText w:val="(%1)"/>
      <w:numFmt w:val="lowerRoman"/>
      <w:start w:val="8"/>
    </w:lvl>
  </w:abstractNum>
  <w:abstractNum w:abstractNumId="72">
    <w:nsid w:val="1D545C4D"/>
    <w:multiLevelType w:val="hybridMultilevel"/>
    <w:lvl w:ilvl="0">
      <w:lvlJc w:val="left"/>
      <w:lvlText w:val="(%1)"/>
      <w:numFmt w:val="lowerRoman"/>
      <w:start w:val="1"/>
    </w:lvl>
  </w:abstractNum>
  <w:abstractNum w:abstractNumId="73">
    <w:nsid w:val="59ADEA3D"/>
    <w:multiLevelType w:val="hybridMultilevel"/>
    <w:lvl w:ilvl="0">
      <w:lvlJc w:val="left"/>
      <w:lvlText w:val="(%1)"/>
      <w:numFmt w:val="lowerRoman"/>
      <w:start w:val="7"/>
    </w:lvl>
  </w:abstractNum>
  <w:abstractNum w:abstractNumId="74">
    <w:nsid w:val="288F1A34"/>
    <w:multiLevelType w:val="hybridMultilevel"/>
    <w:lvl w:ilvl="0">
      <w:lvlJc w:val="left"/>
      <w:lvlText w:val="%1."/>
      <w:numFmt w:val="decimal"/>
      <w:start w:val="4"/>
    </w:lvl>
  </w:abstractNum>
  <w:abstractNum w:abstractNumId="75">
    <w:nsid w:val="2A155DBC"/>
    <w:multiLevelType w:val="hybridMultilevel"/>
    <w:lvl w:ilvl="0">
      <w:lvlJc w:val="left"/>
      <w:lvlText w:val="%1."/>
      <w:numFmt w:val="decimal"/>
      <w:start w:val="5"/>
    </w:lvl>
  </w:abstractNum>
  <w:abstractNum w:abstractNumId="76">
    <w:nsid w:val="1D9F6E5F"/>
    <w:multiLevelType w:val="hybridMultilevel"/>
    <w:lvl w:ilvl="0">
      <w:lvlJc w:val="left"/>
      <w:lvlText w:val="(%1)"/>
      <w:numFmt w:val="lowerRoman"/>
      <w:start w:val="1"/>
    </w:lvl>
    <w:lvl w:ilvl="1">
      <w:lvlJc w:val="left"/>
      <w:lvlText w:val="(%2)"/>
      <w:numFmt w:val="decimal"/>
      <w:start w:val="1"/>
    </w:lvl>
  </w:abstractNum>
  <w:abstractNum w:abstractNumId="77">
    <w:nsid w:val="97E1B4E"/>
    <w:multiLevelType w:val="hybridMultilevel"/>
    <w:lvl w:ilvl="0">
      <w:lvlJc w:val="left"/>
      <w:lvlText w:val="(%1)"/>
      <w:numFmt w:val="lowerRoman"/>
      <w:start w:val="2"/>
    </w:lvl>
    <w:lvl w:ilvl="1">
      <w:lvlJc w:val="left"/>
      <w:lvlText w:val="(%2)"/>
      <w:numFmt w:val="decimal"/>
      <w:start w:val="1"/>
    </w:lvl>
  </w:abstractNum>
  <w:abstractNum w:abstractNumId="78">
    <w:nsid w:val="51088277"/>
    <w:multiLevelType w:val="hybridMultilevel"/>
    <w:lvl w:ilvl="0">
      <w:lvlJc w:val="left"/>
      <w:lvlText w:val="(%1)"/>
      <w:numFmt w:val="lowerRoman"/>
      <w:start w:val="3"/>
    </w:lvl>
  </w:abstractNum>
  <w:abstractNum w:abstractNumId="79">
    <w:nsid w:val="1CA0C5FA"/>
    <w:multiLevelType w:val="hybridMultilevel"/>
    <w:lvl w:ilvl="0">
      <w:lvlJc w:val="left"/>
      <w:lvlText w:val="(%1)"/>
      <w:numFmt w:val="lowerLetter"/>
      <w:start w:val="1"/>
    </w:lvl>
  </w:abstractNum>
  <w:abstractNum w:abstractNumId="80">
    <w:nsid w:val="53584BCB"/>
    <w:multiLevelType w:val="hybridMultilevel"/>
    <w:lvl w:ilvl="0">
      <w:lvlJc w:val="left"/>
      <w:lvlText w:val="(%1)"/>
      <w:numFmt w:val="lowerLetter"/>
      <w:start w:val="3"/>
    </w:lvl>
  </w:abstractNum>
  <w:abstractNum w:abstractNumId="81">
    <w:nsid w:val="415E286C"/>
    <w:multiLevelType w:val="hybridMultilevel"/>
    <w:lvl w:ilvl="0">
      <w:lvlJc w:val="left"/>
      <w:lvlText w:val="(%1)"/>
      <w:numFmt w:val="lowerRoman"/>
      <w:start w:val="1"/>
    </w:lvl>
  </w:abstractNum>
  <w:abstractNum w:abstractNumId="82">
    <w:nsid w:val="7C58FD05"/>
    <w:multiLevelType w:val="hybridMultilevel"/>
    <w:lvl w:ilvl="0">
      <w:lvlJc w:val="left"/>
      <w:lvlText w:val="(%1)"/>
      <w:numFmt w:val="lowerRoman"/>
      <w:start w:val="1"/>
    </w:lvl>
  </w:abstractNum>
  <w:abstractNum w:abstractNumId="83">
    <w:nsid w:val="23D86AAC"/>
    <w:multiLevelType w:val="hybridMultilevel"/>
    <w:lvl w:ilvl="0">
      <w:lvlJc w:val="left"/>
      <w:lvlText w:val="(%1)"/>
      <w:numFmt w:val="lowerRoman"/>
      <w:start w:val="4"/>
    </w:lvl>
  </w:abstractNum>
  <w:abstractNum w:abstractNumId="84">
    <w:nsid w:val="45E6D486"/>
    <w:multiLevelType w:val="hybridMultilevel"/>
    <w:lvl w:ilvl="0">
      <w:lvlJc w:val="left"/>
      <w:lvlText w:val="(%1)"/>
      <w:numFmt w:val="lowerRoman"/>
      <w:start w:val="1"/>
    </w:lvl>
  </w:abstractNum>
  <w:abstractNum w:abstractNumId="85">
    <w:nsid w:val="5C10FE21"/>
    <w:multiLevelType w:val="hybridMultilevel"/>
    <w:lvl w:ilvl="0">
      <w:lvlJc w:val="left"/>
      <w:lvlText w:val="(%1)"/>
      <w:numFmt w:val="decimal"/>
      <w:start w:val="1"/>
    </w:lvl>
  </w:abstractNum>
  <w:abstractNum w:abstractNumId="86">
    <w:nsid w:val="E7FFA2B"/>
    <w:multiLevelType w:val="hybridMultilevel"/>
    <w:lvl w:ilvl="0">
      <w:lvlJc w:val="left"/>
      <w:lvlText w:val="%1."/>
      <w:numFmt w:val="decimal"/>
      <w:start w:val="6"/>
    </w:lvl>
  </w:abstractNum>
  <w:abstractNum w:abstractNumId="87">
    <w:nsid w:val="3C5991AA"/>
    <w:multiLevelType w:val="hybridMultilevel"/>
    <w:lvl w:ilvl="0">
      <w:lvlJc w:val="left"/>
      <w:lvlText w:val="(%1)"/>
      <w:numFmt w:val="lowerRoman"/>
      <w:start w:val="1"/>
    </w:lvl>
  </w:abstractNum>
  <w:abstractNum w:abstractNumId="88">
    <w:nsid w:val="4BD8591A"/>
    <w:multiLevelType w:val="hybridMultilevel"/>
    <w:lvl w:ilvl="0">
      <w:lvlJc w:val="left"/>
      <w:lvlText w:val="(%1)"/>
      <w:numFmt w:val="lowerRoman"/>
      <w:start w:val="2"/>
    </w:lvl>
  </w:abstractNum>
  <w:abstractNum w:abstractNumId="89">
    <w:nsid w:val="78DF6A55"/>
    <w:multiLevelType w:val="hybridMultilevel"/>
    <w:lvl w:ilvl="0">
      <w:lvlJc w:val="left"/>
      <w:lvlText w:val="(%1)"/>
      <w:numFmt w:val="lowerRoman"/>
      <w:start w:val="1"/>
    </w:lvl>
  </w:abstractNum>
  <w:abstractNum w:abstractNumId="90">
    <w:nsid w:val="39B7AAA2"/>
    <w:multiLevelType w:val="hybridMultilevel"/>
    <w:lvl w:ilvl="0">
      <w:lvlJc w:val="left"/>
      <w:lvlText w:val="(%1)"/>
      <w:numFmt w:val="lowerRoman"/>
      <w:start w:val="6"/>
    </w:lvl>
  </w:abstractNum>
  <w:abstractNum w:abstractNumId="91">
    <w:nsid w:val="2B0D8DBE"/>
    <w:multiLevelType w:val="hybridMultilevel"/>
    <w:lvl w:ilvl="0">
      <w:lvlJc w:val="left"/>
      <w:lvlText w:val="(%1)"/>
      <w:numFmt w:val="lowerRoman"/>
      <w:start w:val="1"/>
    </w:lvl>
  </w:abstractNum>
  <w:abstractNum w:abstractNumId="92">
    <w:nsid w:val="6C80EC70"/>
    <w:multiLevelType w:val="hybridMultilevel"/>
    <w:lvl w:ilvl="0">
      <w:lvlJc w:val="left"/>
      <w:lvlText w:val="(%1)"/>
      <w:numFmt w:val="lowerRoman"/>
      <w:start w:val="1"/>
    </w:lvl>
  </w:abstractNum>
  <w:abstractNum w:abstractNumId="93">
    <w:nsid w:val="379E21B5"/>
    <w:multiLevelType w:val="hybridMultilevel"/>
    <w:lvl w:ilvl="0">
      <w:lvlJc w:val="left"/>
      <w:lvlText w:val="(%1)"/>
      <w:numFmt w:val="lowerRoman"/>
      <w:start w:val="1"/>
    </w:lvl>
  </w:abstractNum>
  <w:abstractNum w:abstractNumId="94">
    <w:nsid w:val="69E373"/>
    <w:multiLevelType w:val="hybridMultilevel"/>
    <w:lvl w:ilvl="0">
      <w:lvlJc w:val="left"/>
      <w:lvlText w:val="(%1)"/>
      <w:numFmt w:val="lowerRoman"/>
      <w:start w:val="10"/>
    </w:lvl>
  </w:abstractNum>
  <w:abstractNum w:abstractNumId="95">
    <w:nsid w:val="2C27173B"/>
    <w:multiLevelType w:val="hybridMultilevel"/>
    <w:lvl w:ilvl="0">
      <w:lvlJc w:val="left"/>
      <w:lvlText w:val="(%1)"/>
      <w:numFmt w:val="lowerRoman"/>
      <w:start w:val="1"/>
    </w:lvl>
    <w:lvl w:ilvl="1">
      <w:lvlJc w:val="left"/>
      <w:lvlText w:val="(%2)"/>
      <w:numFmt w:val="upperLetter"/>
      <w:start w:val="1"/>
    </w:lvl>
  </w:abstractNum>
  <w:abstractNum w:abstractNumId="96">
    <w:nsid w:val="4C9B0904"/>
    <w:multiLevelType w:val="hybridMultilevel"/>
    <w:lvl w:ilvl="0">
      <w:lvlJc w:val="left"/>
      <w:lvlText w:val="(%1)"/>
      <w:numFmt w:val="lowerRoman"/>
      <w:start w:val="1"/>
    </w:lvl>
  </w:abstractNum>
  <w:abstractNum w:abstractNumId="97">
    <w:nsid w:val="6AA7B75C"/>
    <w:multiLevelType w:val="hybridMultilevel"/>
    <w:lvl w:ilvl="0">
      <w:lvlJc w:val="left"/>
      <w:lvlText w:val="(%1)"/>
      <w:numFmt w:val="lowerRoman"/>
      <w:start w:val="1"/>
    </w:lvl>
  </w:abstractNum>
  <w:abstractNum w:abstractNumId="98">
    <w:nsid w:val="1DF029D3"/>
    <w:multiLevelType w:val="hybridMultilevel"/>
    <w:lvl w:ilvl="0">
      <w:lvlJc w:val="left"/>
      <w:lvlText w:val="(%1)"/>
      <w:numFmt w:val="lowerRoman"/>
      <w:start w:val="1"/>
    </w:lvl>
  </w:abstractNum>
  <w:abstractNum w:abstractNumId="99">
    <w:nsid w:val="5675FF36"/>
    <w:multiLevelType w:val="hybridMultilevel"/>
    <w:lvl w:ilvl="0">
      <w:lvlJc w:val="left"/>
      <w:lvlText w:val="(%1)"/>
      <w:numFmt w:val="lowerRoman"/>
      <w:start w:val="1"/>
    </w:lvl>
  </w:abstractNum>
  <w:abstractNum w:abstractNumId="100">
    <w:nsid w:val="3DD15094"/>
    <w:multiLevelType w:val="hybridMultilevel"/>
    <w:lvl w:ilvl="0">
      <w:lvlJc w:val="left"/>
      <w:lvlText w:val="(%1)"/>
      <w:numFmt w:val="lowerRoman"/>
      <w:start w:val="2"/>
    </w:lvl>
  </w:abstractNum>
  <w:abstractNum w:abstractNumId="101">
    <w:nsid w:val="3DB012B3"/>
    <w:multiLevelType w:val="hybridMultilevel"/>
    <w:lvl w:ilvl="0">
      <w:lvlJc w:val="left"/>
      <w:lvlText w:val="(%1)"/>
      <w:numFmt w:val="lowerRoman"/>
      <w:start w:val="10"/>
    </w:lvl>
  </w:abstractNum>
  <w:abstractNum w:abstractNumId="102">
    <w:nsid w:val="2708C9AF"/>
    <w:multiLevelType w:val="hybridMultilevel"/>
    <w:lvl w:ilvl="0">
      <w:lvlJc w:val="left"/>
      <w:lvlText w:val="%1"/>
      <w:numFmt w:val="lowerLetter"/>
      <w:start w:val="1"/>
    </w:lvl>
    <w:lvl w:ilvl="1">
      <w:lvlJc w:val="left"/>
      <w:lvlText w:val="(%2)"/>
      <w:numFmt w:val="lowerLetter"/>
      <w:start w:val="1"/>
    </w:lvl>
  </w:abstractNum>
  <w:abstractNum w:abstractNumId="103">
    <w:nsid w:val="5B25ACE2"/>
    <w:multiLevelType w:val="hybridMultilevel"/>
    <w:lvl w:ilvl="0">
      <w:lvlJc w:val="left"/>
      <w:lvlText w:val="(%1)"/>
      <w:numFmt w:val="lowerLetter"/>
      <w:start w:val="9"/>
    </w:lvl>
    <w:lvl w:ilvl="1">
      <w:lvlJc w:val="left"/>
      <w:lvlText w:val="%2"/>
      <w:numFmt w:val="lowerLetter"/>
      <w:start w:val="1"/>
    </w:lvl>
  </w:abstractNum>
  <w:abstractNum w:abstractNumId="104">
    <w:nsid w:val="175DFCF0"/>
    <w:multiLevelType w:val="hybridMultilevel"/>
    <w:lvl w:ilvl="0">
      <w:lvlJc w:val="left"/>
      <w:lvlText w:val="(%1)"/>
      <w:numFmt w:val="lowerLetter"/>
      <w:start w:val="2"/>
    </w:lvl>
  </w:abstractNum>
  <w:abstractNum w:abstractNumId="105">
    <w:nsid w:val="4F97E3E4"/>
    <w:multiLevelType w:val="hybridMultilevel"/>
    <w:lvl w:ilvl="0">
      <w:lvlJc w:val="left"/>
      <w:lvlText w:val="(%1)"/>
      <w:numFmt w:val="lowerRoman"/>
      <w:start w:val="1"/>
    </w:lvl>
  </w:abstractNum>
  <w:abstractNum w:abstractNumId="106">
    <w:nsid w:val="53B0A9E"/>
    <w:multiLevelType w:val="hybridMultilevel"/>
    <w:lvl w:ilvl="0">
      <w:lvlJc w:val="left"/>
      <w:lvlText w:val="(%1)"/>
      <w:numFmt w:val="lowerRoman"/>
      <w:start w:val="4"/>
    </w:lvl>
  </w:abstractNum>
  <w:abstractNum w:abstractNumId="107">
    <w:nsid w:val="34FD6B4F"/>
    <w:multiLevelType w:val="hybridMultilevel"/>
    <w:lvl w:ilvl="0">
      <w:lvlJc w:val="left"/>
      <w:lvlText w:val="%1."/>
      <w:numFmt w:val="decimal"/>
      <w:start w:val="8"/>
    </w:lvl>
  </w:abstractNum>
  <w:abstractNum w:abstractNumId="108">
    <w:nsid w:val="5915FF32"/>
    <w:multiLevelType w:val="hybridMultilevel"/>
    <w:lvl w:ilvl="0">
      <w:lvlJc w:val="left"/>
      <w:lvlText w:val="(%1)"/>
      <w:numFmt w:val="lowerRoman"/>
      <w:start w:val="1"/>
    </w:lvl>
  </w:abstractNum>
  <w:abstractNum w:abstractNumId="109">
    <w:nsid w:val="56438D15"/>
    <w:multiLevelType w:val="hybridMultilevel"/>
    <w:lvl w:ilvl="0">
      <w:lvlJc w:val="left"/>
      <w:lvlText w:val="(%1)"/>
      <w:numFmt w:val="lowerRoman"/>
      <w:start w:val="1"/>
    </w:lvl>
  </w:abstractNum>
  <w:abstractNum w:abstractNumId="110">
    <w:nsid w:val="519E3149"/>
    <w:multiLevelType w:val="hybridMultilevel"/>
    <w:lvl w:ilvl="0">
      <w:lvlJc w:val="left"/>
      <w:lvlText w:val="(%1)"/>
      <w:numFmt w:val="lowerRoman"/>
      <w:start w:val="1"/>
    </w:lvl>
  </w:abstractNum>
  <w:abstractNum w:abstractNumId="111">
    <w:nsid w:val="2C6E4AFD"/>
    <w:multiLevelType w:val="hybridMultilevel"/>
    <w:lvl w:ilvl="0">
      <w:lvlJc w:val="left"/>
      <w:lvlText w:val="(%1)"/>
      <w:numFmt w:val="lowerRoman"/>
      <w:start w:val="4"/>
    </w:lvl>
  </w:abstractNum>
  <w:abstractNum w:abstractNumId="112">
    <w:nsid w:val="17A1B582"/>
    <w:multiLevelType w:val="hybridMultilevel"/>
    <w:lvl w:ilvl="0">
      <w:lvlJc w:val="left"/>
      <w:lvlText w:val="%1."/>
      <w:numFmt w:val="decimal"/>
      <w:start w:val="9"/>
    </w:lvl>
  </w:abstractNum>
  <w:abstractNum w:abstractNumId="113">
    <w:nsid w:val="4DF72E4E"/>
    <w:multiLevelType w:val="hybridMultilevel"/>
    <w:lvl w:ilvl="0">
      <w:lvlJc w:val="left"/>
      <w:lvlText w:val="(%1)"/>
      <w:numFmt w:val="lowerLetter"/>
      <w:start w:val="1"/>
    </w:lvl>
  </w:abstractNum>
  <w:abstractNum w:abstractNumId="114">
    <w:nsid w:val="5046B5A9"/>
    <w:multiLevelType w:val="hybridMultilevel"/>
    <w:lvl w:ilvl="0">
      <w:lvlJc w:val="left"/>
      <w:lvlText w:val="(%1)"/>
      <w:numFmt w:val="lowerLetter"/>
      <w:start w:val="7"/>
    </w:lvl>
  </w:abstractNum>
  <w:abstractNum w:abstractNumId="115">
    <w:nsid w:val="5D888A08"/>
    <w:multiLevelType w:val="hybridMultilevel"/>
    <w:lvl w:ilvl="0">
      <w:lvlJc w:val="left"/>
      <w:lvlText w:val="%1."/>
      <w:numFmt w:val="decimal"/>
      <w:start w:val="10"/>
    </w:lvl>
  </w:abstractNum>
  <w:abstractNum w:abstractNumId="116">
    <w:nsid w:val="2A082C70"/>
    <w:multiLevelType w:val="hybridMultilevel"/>
    <w:lvl w:ilvl="0">
      <w:lvlJc w:val="left"/>
      <w:lvlText w:val="(%1)"/>
      <w:numFmt w:val="lowerRoman"/>
      <w:start w:val="1"/>
    </w:lvl>
  </w:abstractNum>
  <w:abstractNum w:abstractNumId="117">
    <w:nsid w:val="5EC6AFD4"/>
    <w:multiLevelType w:val="hybridMultilevel"/>
    <w:lvl w:ilvl="0">
      <w:lvlJc w:val="left"/>
      <w:lvlText w:val="(%1)"/>
      <w:numFmt w:val="lowerRoman"/>
      <w:start w:val="2"/>
    </w:lvl>
  </w:abstractNum>
  <w:abstractNum w:abstractNumId="118">
    <w:nsid w:val="19E21BB2"/>
    <w:multiLevelType w:val="hybridMultilevel"/>
    <w:lvl w:ilvl="0">
      <w:lvlJc w:val="left"/>
      <w:lvlText w:val="(%1)"/>
      <w:numFmt w:val="lowerRoman"/>
      <w:start w:val="1"/>
    </w:lvl>
  </w:abstractNum>
  <w:abstractNum w:abstractNumId="119">
    <w:nsid w:val="75E0858A"/>
    <w:multiLevelType w:val="hybridMultilevel"/>
    <w:lvl w:ilvl="0">
      <w:lvlJc w:val="left"/>
      <w:lvlText w:val="(%1)"/>
      <w:numFmt w:val="lowerLetter"/>
      <w:start w:val="1"/>
    </w:lvl>
  </w:abstractNum>
  <w:abstractNum w:abstractNumId="120">
    <w:nsid w:val="57A61A29"/>
    <w:multiLevelType w:val="hybridMultilevel"/>
    <w:lvl w:ilvl="0">
      <w:lvlJc w:val="left"/>
      <w:lvlText w:val="(%1)"/>
      <w:numFmt w:val="lowerRoman"/>
      <w:start w:val="1"/>
    </w:lvl>
  </w:abstractNum>
  <w:abstractNum w:abstractNumId="121">
    <w:nsid w:val="5399C654"/>
    <w:multiLevelType w:val="hybridMultilevel"/>
    <w:lvl w:ilvl="0">
      <w:lvlJc w:val="left"/>
      <w:lvlText w:val="(%1)"/>
      <w:numFmt w:val="lowerRoman"/>
      <w:start w:val="1"/>
    </w:lvl>
  </w:abstractNum>
  <w:abstractNum w:abstractNumId="122">
    <w:nsid w:val="20EE1348"/>
    <w:multiLevelType w:val="hybridMultilevel"/>
    <w:lvl w:ilvl="0">
      <w:lvlJc w:val="left"/>
      <w:lvlText w:val="(%1)"/>
      <w:numFmt w:val="lowerRoman"/>
      <w:start w:val="3"/>
    </w:lvl>
  </w:abstractNum>
  <w:abstractNum w:abstractNumId="123">
    <w:nsid w:val="4427069A"/>
    <w:multiLevelType w:val="hybridMultilevel"/>
    <w:lvl w:ilvl="0">
      <w:lvlJc w:val="left"/>
      <w:lvlText w:val="(%1)"/>
      <w:numFmt w:val="lowerRoman"/>
      <w:start w:val="1"/>
    </w:lvl>
  </w:abstractNum>
  <w:abstractNum w:abstractNumId="124">
    <w:nsid w:val="B37E80A"/>
    <w:multiLevelType w:val="hybridMultilevel"/>
    <w:lvl w:ilvl="0">
      <w:lvlJc w:val="left"/>
      <w:lvlText w:val="(%1)"/>
      <w:numFmt w:val="lowerRoman"/>
      <w:start w:val="1"/>
    </w:lvl>
  </w:abstractNum>
  <w:abstractNum w:abstractNumId="125">
    <w:nsid w:val="2157F6BC"/>
    <w:multiLevelType w:val="hybridMultilevel"/>
    <w:lvl w:ilvl="0">
      <w:lvlJc w:val="left"/>
      <w:lvlText w:val="%1."/>
      <w:numFmt w:val="decimal"/>
      <w:start w:val="1"/>
    </w:lvl>
  </w:abstractNum>
  <w:abstractNum w:abstractNumId="126">
    <w:nsid w:val="704E1DD5"/>
    <w:multiLevelType w:val="hybridMultilevel"/>
    <w:lvl w:ilvl="0">
      <w:lvlJc w:val="left"/>
      <w:lvlText w:val="-"/>
      <w:numFmt w:val="bullet"/>
      <w:start w:val="1"/>
    </w:lvl>
    <w:lvl w:ilvl="1">
      <w:lvlJc w:val="left"/>
      <w:lvlText w:val="%2."/>
      <w:numFmt w:val="decimal"/>
      <w:start w:val="3"/>
    </w:lvl>
  </w:abstractNum>
  <w:abstractNum w:abstractNumId="127">
    <w:nsid w:val="57D2F10E"/>
    <w:multiLevelType w:val="hybridMultilevel"/>
    <w:lvl w:ilvl="0">
      <w:lvlJc w:val="left"/>
      <w:lvlText w:val="(%1)"/>
      <w:numFmt w:val="decimal"/>
      <w:start w:val="1"/>
    </w:lvl>
  </w:abstractNum>
  <w:abstractNum w:abstractNumId="128">
    <w:nsid w:val="BFFAE18"/>
    <w:multiLevelType w:val="hybridMultilevel"/>
    <w:lvl w:ilvl="0">
      <w:lvlJc w:val="left"/>
      <w:lvlText w:val="%1."/>
      <w:numFmt w:val="decimal"/>
      <w:start w:val="5"/>
    </w:lvl>
  </w:abstractNum>
  <w:abstractNum w:abstractNumId="129">
    <w:nsid w:val="E3E47A8"/>
    <w:multiLevelType w:val="hybridMultilevel"/>
    <w:lvl w:ilvl="0">
      <w:lvlJc w:val="left"/>
      <w:lvlText w:val="%1."/>
      <w:numFmt w:val="decimal"/>
      <w:start w:val="6"/>
    </w:lvl>
    <w:lvl w:ilvl="1">
      <w:lvlJc w:val="left"/>
      <w:lvlText w:val="(%2)"/>
      <w:numFmt w:val="lowerLetter"/>
      <w:start w:val="1"/>
    </w:lvl>
  </w:abstractNum>
  <w:abstractNum w:abstractNumId="130">
    <w:nsid w:val="2E48F044"/>
    <w:multiLevelType w:val="hybridMultilevel"/>
    <w:lvl w:ilvl="0">
      <w:lvlJc w:val="left"/>
      <w:lvlText w:val="%1."/>
      <w:numFmt w:val="upperLetter"/>
      <w:start w:val="9"/>
    </w:lvl>
    <w:lvl w:ilvl="1">
      <w:lvlJc w:val="left"/>
      <w:lvlText w:val="(%2)"/>
      <w:numFmt w:val="upperLetter"/>
      <w:start w:val="1"/>
    </w:lvl>
    <w:lvl w:ilvl="2">
      <w:lvlJc w:val="left"/>
      <w:lvlText w:val="(%3)"/>
      <w:numFmt w:val="lowerLetter"/>
      <w:start w:val="2"/>
    </w:lvl>
  </w:abstractNum>
  <w:abstractNum w:abstractNumId="131">
    <w:nsid w:val="49D0FEAC"/>
    <w:multiLevelType w:val="hybridMultilevel"/>
    <w:lvl w:ilvl="0">
      <w:lvlJc w:val="left"/>
      <w:lvlText w:val="%1."/>
      <w:numFmt w:val="upperLetter"/>
      <w:start w:val="35"/>
    </w:lvl>
  </w:abstractNum>
  <w:abstractNum w:abstractNumId="132">
    <w:nsid w:val="4BEE5A5B"/>
    <w:multiLevelType w:val="hybridMultilevel"/>
    <w:lvl w:ilvl="0">
      <w:lvlJc w:val="left"/>
      <w:lvlText w:val="%1."/>
      <w:numFmt w:val="decimal"/>
      <w:start w:val="1"/>
    </w:lvl>
  </w:abstractNum>
  <w:abstractNum w:abstractNumId="133">
    <w:nsid w:val="5551B9F3"/>
    <w:multiLevelType w:val="hybridMultilevel"/>
    <w:lvl w:ilvl="0">
      <w:lvlJc w:val="left"/>
      <w:lvlText w:val="%1."/>
      <w:numFmt w:val="decimal"/>
      <w:start w:val="3"/>
    </w:lvl>
  </w:abstractNum>
  <w:abstractNum w:abstractNumId="134">
    <w:nsid w:val="24F6AB8E"/>
    <w:multiLevelType w:val="hybridMultilevel"/>
    <w:lvl w:ilvl="0">
      <w:lvlJc w:val="left"/>
      <w:lvlText w:val="%1."/>
      <w:numFmt w:val="decimal"/>
      <w:start w:val="1"/>
    </w:lvl>
  </w:abstractNum>
  <w:abstractNum w:abstractNumId="135">
    <w:nsid w:val="634C574C"/>
    <w:multiLevelType w:val="hybridMultilevel"/>
    <w:lvl w:ilvl="0">
      <w:lvlJc w:val="left"/>
      <w:lvlText w:val="%1."/>
      <w:numFmt w:val="decimal"/>
      <w:start w:val="1"/>
    </w:lvl>
  </w:abstractNum>
  <w:abstractNum w:abstractNumId="136">
    <w:nsid w:val="24E99DD7"/>
    <w:multiLevelType w:val="hybridMultilevel"/>
    <w:lvl w:ilvl="0">
      <w:lvlJc w:val="left"/>
      <w:lvlText w:val="(%1)"/>
      <w:numFmt w:val="lowerLetter"/>
      <w:start w:val="2"/>
    </w:lvl>
    <w:lvl w:ilvl="1">
      <w:lvlJc w:val="left"/>
      <w:lvlText w:val="%2."/>
      <w:numFmt w:val="decimal"/>
      <w:start w:val="3"/>
    </w:lvl>
  </w:abstractNum>
  <w:abstractNum w:abstractNumId="137">
    <w:nsid w:val="2A31B62D"/>
    <w:multiLevelType w:val="hybridMultilevel"/>
    <w:lvl w:ilvl="0">
      <w:lvlJc w:val="left"/>
      <w:lvlText w:val="%1."/>
      <w:numFmt w:val="decimal"/>
      <w:start w:val="1"/>
    </w:lvl>
  </w:abstractNum>
  <w:abstractNum w:abstractNumId="138">
    <w:nsid w:val="1849C29B"/>
    <w:multiLevelType w:val="hybridMultilevel"/>
    <w:lvl w:ilvl="0">
      <w:lvlJc w:val="left"/>
      <w:lvlText w:val="%1."/>
      <w:numFmt w:val="decimal"/>
      <w:start w:val="1"/>
    </w:lvl>
  </w:abstractNum>
  <w:abstractNum w:abstractNumId="139">
    <w:nsid w:val="7DFF9D09"/>
    <w:multiLevelType w:val="hybridMultilevel"/>
    <w:lvl w:ilvl="0">
      <w:lvlJc w:val="left"/>
      <w:lvlText w:val="%1."/>
      <w:numFmt w:val="decimal"/>
      <w:start w:val="3"/>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2020-10-07T05:36:40Z</dcterms:created>
  <dcterms:modified xsi:type="dcterms:W3CDTF">2020-10-07T05:36:40Z</dcterms:modified>
</cp:coreProperties>
</file>