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64135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86995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3"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2000"/>
        <w:spacing w:after="0"/>
        <w:tabs>
          <w:tab w:leader="none" w:pos="5040" w:val="left"/>
          <w:tab w:leader="none" w:pos="5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7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1-5581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80010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191135</wp:posOffset>
            </wp:positionV>
            <wp:extent cx="153416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16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WATSCO,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76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59-0778222</w:t>
            </w:r>
          </w:p>
        </w:tc>
      </w:tr>
      <w:tr>
        <w:trPr>
          <w:trHeight w:val="148"/>
        </w:trPr>
        <w:tc>
          <w:tcPr>
            <w:tcW w:w="3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60" w:type="dxa"/>
            <w:vAlign w:val="bottom"/>
          </w:tcPr>
          <w:p>
            <w:pPr>
              <w:jc w:val="center"/>
              <w:ind w:left="25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60" w:type="dxa"/>
            <w:vAlign w:val="bottom"/>
          </w:tcPr>
          <w:p>
            <w:pPr>
              <w:jc w:val="center"/>
              <w:ind w:left="25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2665 South Bayshore Drive, Suite 901</w:t>
            </w:r>
          </w:p>
        </w:tc>
        <w:tc>
          <w:tcPr>
            <w:tcW w:w="3760" w:type="dxa"/>
            <w:vAlign w:val="bottom"/>
          </w:tcPr>
          <w:p>
            <w:pPr>
              <w:spacing w:after="0"/>
              <w:rPr>
                <w:sz w:val="24"/>
                <w:szCs w:val="24"/>
                <w:color w:val="auto"/>
              </w:rPr>
            </w:pPr>
          </w:p>
        </w:tc>
      </w:tr>
      <w:tr>
        <w:trPr>
          <w:trHeight w:val="214"/>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376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33133</w:t>
            </w:r>
          </w:p>
        </w:tc>
      </w:tr>
      <w:tr>
        <w:trPr>
          <w:trHeight w:val="190"/>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25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3"/>
        </w:trPr>
        <w:tc>
          <w:tcPr>
            <w:tcW w:w="3120" w:type="dxa"/>
            <w:vAlign w:val="bottom"/>
          </w:tcPr>
          <w:p>
            <w:pPr>
              <w:spacing w:after="0"/>
              <w:rPr>
                <w:sz w:val="24"/>
                <w:szCs w:val="24"/>
                <w:color w:val="auto"/>
              </w:rPr>
            </w:pPr>
          </w:p>
        </w:tc>
        <w:tc>
          <w:tcPr>
            <w:tcW w:w="3760" w:type="dxa"/>
            <w:vAlign w:val="bottom"/>
          </w:tcPr>
          <w:p>
            <w:pPr>
              <w:jc w:val="right"/>
              <w:ind w:right="2359"/>
              <w:spacing w:after="0"/>
              <w:rPr>
                <w:sz w:val="20"/>
                <w:szCs w:val="20"/>
                <w:color w:val="auto"/>
              </w:rPr>
            </w:pPr>
            <w:r>
              <w:rPr>
                <w:rFonts w:ascii="Times New Roman" w:cs="Times New Roman" w:eastAsia="Times New Roman" w:hAnsi="Times New Roman"/>
                <w:sz w:val="18"/>
                <w:szCs w:val="18"/>
                <w:b w:val="1"/>
                <w:bCs w:val="1"/>
                <w:color w:val="auto"/>
              </w:rPr>
              <w:t>(305) 714-4100</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69850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0" w:type="dxa"/>
            <w:vAlign w:val="bottom"/>
          </w:tcPr>
          <w:p>
            <w:pPr>
              <w:spacing w:after="0"/>
              <w:rPr>
                <w:sz w:val="15"/>
                <w:szCs w:val="15"/>
                <w:color w:val="auto"/>
              </w:rPr>
            </w:pP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stock, $0.50 par value</w:t>
            </w:r>
          </w:p>
        </w:tc>
        <w:tc>
          <w:tcPr>
            <w:tcW w:w="100" w:type="dxa"/>
            <w:vAlign w:val="bottom"/>
          </w:tcPr>
          <w:p>
            <w:pPr>
              <w:spacing w:after="0"/>
              <w:rPr>
                <w:sz w:val="16"/>
                <w:szCs w:val="16"/>
                <w:color w:val="auto"/>
              </w:rPr>
            </w:pPr>
          </w:p>
        </w:tc>
        <w:tc>
          <w:tcPr>
            <w:tcW w:w="2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WSO</w:t>
            </w:r>
          </w:p>
        </w:tc>
        <w:tc>
          <w:tcPr>
            <w:tcW w:w="180" w:type="dxa"/>
            <w:vAlign w:val="bottom"/>
          </w:tcPr>
          <w:p>
            <w:pPr>
              <w:spacing w:after="0"/>
              <w:rPr>
                <w:sz w:val="16"/>
                <w:szCs w:val="16"/>
                <w:color w:val="auto"/>
              </w:rPr>
            </w:pPr>
          </w:p>
        </w:tc>
        <w:tc>
          <w:tcPr>
            <w:tcW w:w="364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$0.50 par value</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WSOB</w:t>
            </w:r>
          </w:p>
        </w:tc>
        <w:tc>
          <w:tcPr>
            <w:tcW w:w="180" w:type="dxa"/>
            <w:vAlign w:val="bottom"/>
          </w:tcPr>
          <w:p>
            <w:pPr>
              <w:spacing w:after="0"/>
              <w:rPr>
                <w:sz w:val="20"/>
                <w:szCs w:val="20"/>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63"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common stock outstanding as of May 5, 2026 comprised (i) 35,003,793 shares of Common stock, $0.50 par value per share, excluding 4,066,929 treasury shares and (ii) 5,653,741 shares of Class B common stock, $0.50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633095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131445</wp:posOffset>
            </wp:positionV>
            <wp:extent cx="6172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6172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80" w:type="dxa"/>
            <w:vAlign w:val="bottom"/>
            <w:gridSpan w:val="11"/>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WATSCO, INC. AND SUBSIDIARIES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gridSpan w:val="11"/>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gridSpan w:val="11"/>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89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4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900" w:type="dxa"/>
            <w:vAlign w:val="bottom"/>
            <w:gridSpan w:val="20"/>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Unaudited Financial Statements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Income – Quarters Ended March 31, 2026 and 2025</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Comprehensive Income – Quarters Ended March 31, 2026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9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1480" w:type="dxa"/>
            <w:vAlign w:val="bottom"/>
            <w:gridSpan w:val="3"/>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Unaudited Balance Sheets – March 31, 2026 and December 31, 2025</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Shareholders’ Equity – Quarters Ended March 31, 2026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9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1480" w:type="dxa"/>
            <w:vAlign w:val="bottom"/>
            <w:gridSpan w:val="3"/>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Cash Flows – Quarters Ended March 31, 2026 and 2025</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Unaudited Financial Statements</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Borders>
              <w:top w:val="single" w:sz="8" w:color="0000FF"/>
            </w:tcBorders>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100" w:type="dxa"/>
            <w:vAlign w:val="bottom"/>
            <w:gridSpan w:val="12"/>
          </w:tcPr>
          <w:p>
            <w:pPr>
              <w:spacing w:after="0"/>
              <w:rPr>
                <w:sz w:val="24"/>
                <w:szCs w:val="24"/>
                <w:color w:val="auto"/>
              </w:rPr>
            </w:pP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0" w:type="dxa"/>
            <w:vAlign w:val="bottom"/>
            <w:gridSpan w:val="1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320" w:type="dxa"/>
            <w:vAlign w:val="bottom"/>
            <w:gridSpan w:val="1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10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color w:val="auto"/>
              </w:rPr>
              <w:t>2 of 27</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UNAUDITED FINANCIAL STATEMENTS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Quarters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1,533,010</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1,531,086</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1,105,455</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1,101,463</w:t>
            </w:r>
          </w:p>
        </w:tc>
        <w:tc>
          <w:tcPr>
            <w:tcW w:w="100" w:type="dxa"/>
            <w:vAlign w:val="bottom"/>
          </w:tcPr>
          <w:p>
            <w:pPr>
              <w:spacing w:after="0"/>
              <w:rPr>
                <w:sz w:val="18"/>
                <w:szCs w:val="18"/>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427,555</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429,623</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322,851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322,581</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5,480</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110,184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112,188</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6,459</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116,643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117,605</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23,702</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92,941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94,540</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13,867</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Watsco, Inc.</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79,074</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61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Earnings per share for Common and Class B common stock</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(collectively “common stock”):</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-1456690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-1456690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-1173480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-1173480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-890905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-890905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-607695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-607695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Quarters Ended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92,941</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94,540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(4,925)</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FF0FC"/>
          </w:tcPr>
          <w:p>
            <w:pPr>
              <w:spacing w:after="0"/>
              <w:rPr>
                <w:sz w:val="18"/>
                <w:szCs w:val="18"/>
                <w:color w:val="auto"/>
              </w:rPr>
            </w:pPr>
          </w:p>
        </w:tc>
      </w:tr>
      <w:tr>
        <w:trPr>
          <w:trHeight w:val="209"/>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88,016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94,788</w:t>
            </w:r>
          </w:p>
        </w:tc>
        <w:tc>
          <w:tcPr>
            <w:tcW w:w="100" w:type="dxa"/>
            <w:vAlign w:val="bottom"/>
            <w:tcBorders>
              <w:top w:val="single" w:sz="8" w:color="CFF0FC"/>
            </w:tcBorders>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12,130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Watsco, Inc.</w:t>
            </w:r>
          </w:p>
        </w:tc>
        <w:tc>
          <w:tcPr>
            <w:tcW w:w="820" w:type="dxa"/>
            <w:vAlign w:val="bottom"/>
            <w:gridSpan w:val="2"/>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75,886</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80,225</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-453390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-453390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WATSCO, INC. AND SUBSIDIARIES CONDENSED CONSOLIDATED UNAUDITED BALANCE SHEETS (In thousands, except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9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392,679</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433,283</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cash investments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839,237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796,181</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1,715,195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1,386,317</w:t>
            </w:r>
          </w:p>
        </w:tc>
        <w:tc>
          <w:tcPr>
            <w:tcW w:w="100" w:type="dxa"/>
            <w:vAlign w:val="bottom"/>
          </w:tcPr>
          <w:p>
            <w:pPr>
              <w:spacing w:after="0"/>
              <w:rPr>
                <w:sz w:val="17"/>
                <w:szCs w:val="17"/>
                <w:color w:val="auto"/>
              </w:rPr>
            </w:pPr>
          </w:p>
        </w:tc>
      </w:tr>
      <w:tr>
        <w:trPr>
          <w:trHeight w:val="202"/>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15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34,067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3,181,178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2,954,506</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133,299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136,012</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460,731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452,547</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461,364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462,509</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207,899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210,427</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unconsolidated entity</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190,714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185,234</w:t>
            </w:r>
          </w:p>
        </w:tc>
        <w:tc>
          <w:tcPr>
            <w:tcW w:w="100" w:type="dxa"/>
            <w:vAlign w:val="bottom"/>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5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14,312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4,649,497</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4,414,805</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117,714</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117,153</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587,417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350,425</w:t>
            </w:r>
          </w:p>
        </w:tc>
        <w:tc>
          <w:tcPr>
            <w:tcW w:w="100" w:type="dxa"/>
            <w:vAlign w:val="bottom"/>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5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246,740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951,871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717,742</w:t>
            </w:r>
          </w:p>
        </w:tc>
        <w:tc>
          <w:tcPr>
            <w:tcW w:w="100" w:type="dxa"/>
            <w:vAlign w:val="bottom"/>
          </w:tcPr>
          <w:p>
            <w:pPr>
              <w:spacing w:after="0"/>
              <w:rPr>
                <w:sz w:val="17"/>
                <w:szCs w:val="17"/>
                <w:color w:val="auto"/>
              </w:rPr>
            </w:pPr>
          </w:p>
        </w:tc>
      </w:tr>
      <w:tr>
        <w:trPr>
          <w:trHeight w:val="196"/>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Long-term obligations: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358,490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350,616</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1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100" w:type="dxa"/>
            <w:vAlign w:val="bottom"/>
          </w:tcPr>
          <w:p>
            <w:pPr>
              <w:spacing w:after="0"/>
              <w:rPr>
                <w:sz w:val="17"/>
                <w:szCs w:val="17"/>
                <w:color w:val="auto"/>
              </w:rPr>
            </w:pPr>
          </w:p>
        </w:tc>
      </w:tr>
      <w:tr>
        <w:trPr>
          <w:trHeight w:val="196"/>
        </w:trPr>
        <w:tc>
          <w:tcPr>
            <w:tcW w:w="51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Total long-term obligations</w:t>
            </w:r>
          </w:p>
        </w:tc>
        <w:tc>
          <w:tcPr>
            <w:tcW w:w="15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368,513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361,635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114,193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113,367</w:t>
            </w:r>
          </w:p>
        </w:tc>
        <w:tc>
          <w:tcPr>
            <w:tcW w:w="100" w:type="dxa"/>
            <w:vAlign w:val="bottom"/>
          </w:tcPr>
          <w:p>
            <w:pPr>
              <w:spacing w:after="0"/>
              <w:rPr>
                <w:sz w:val="17"/>
                <w:szCs w:val="17"/>
                <w:color w:val="auto"/>
              </w:rPr>
            </w:pPr>
          </w:p>
        </w:tc>
      </w:tr>
      <w:tr>
        <w:trPr>
          <w:trHeight w:val="196"/>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Watsco, Inc. shareholders’ equity:</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Common stock, $0.50 par value</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19,533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19,504</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common stock, $0.50 par value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Preferred stock, $0.50 par value</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1,589,968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1,563,389</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(53,493)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(50,305)</w:t>
            </w: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1,276,500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1,319,201</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Treasury stock, at cost</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(73,230)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(73,230)</w:t>
            </w:r>
          </w:p>
        </w:tc>
      </w:tr>
      <w:tr>
        <w:trPr>
          <w:trHeight w:val="196"/>
        </w:trPr>
        <w:tc>
          <w:tcPr>
            <w:tcW w:w="5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Watsco, Inc. shareholders’ equity</w:t>
            </w:r>
          </w:p>
        </w:tc>
        <w:tc>
          <w:tcPr>
            <w:tcW w:w="15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2,762,105</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2,781,376</w:t>
            </w:r>
          </w:p>
        </w:tc>
        <w:tc>
          <w:tcPr>
            <w:tcW w:w="100" w:type="dxa"/>
            <w:vAlign w:val="bottom"/>
            <w:tcBorders>
              <w:top w:val="single" w:sz="8" w:color="CFF0FC"/>
            </w:tcBorders>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Non-controlling interest</w:t>
            </w:r>
          </w:p>
        </w:tc>
        <w:tc>
          <w:tcPr>
            <w:tcW w:w="15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452,815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3,214,920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3,222,061</w:t>
            </w:r>
          </w:p>
        </w:tc>
        <w:tc>
          <w:tcPr>
            <w:tcW w:w="100" w:type="dxa"/>
            <w:vAlign w:val="bottom"/>
          </w:tcPr>
          <w:p>
            <w:pPr>
              <w:spacing w:after="0"/>
              <w:rPr>
                <w:sz w:val="17"/>
                <w:szCs w:val="17"/>
                <w:color w:val="auto"/>
              </w:rPr>
            </w:pPr>
          </w:p>
        </w:tc>
      </w:tr>
      <w:tr>
        <w:trPr>
          <w:trHeight w:val="216"/>
        </w:trPr>
        <w:tc>
          <w:tcPr>
            <w:tcW w:w="5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4,649,497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4,414,805</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-4893945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-4893945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-3856990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-3856990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-2922270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-2922270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-2125345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-2125345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-565150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-565150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-299720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-299720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-24765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-7620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SHAREHOLDERS’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Common Stock,</w:t>
            </w:r>
          </w:p>
        </w:tc>
        <w:tc>
          <w:tcPr>
            <w:tcW w:w="9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6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92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Preferred</w:t>
            </w:r>
          </w:p>
        </w:tc>
        <w:tc>
          <w:tcPr>
            <w:tcW w:w="6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and Preferred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8"/>
              </w:rPr>
              <w:t>ive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74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share and per share data)</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Stock Shares</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7"/>
              </w:rPr>
              <w:t>Stock 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40,575,912</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22,321</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1,563,389</w:t>
            </w:r>
          </w:p>
        </w:tc>
        <w:tc>
          <w:tcPr>
            <w:tcW w:w="8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(50,305)</w:t>
            </w: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1,319,201</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b w:val="1"/>
                <w:bCs w:val="1"/>
                <w:color w:val="auto"/>
              </w:rPr>
              <w:t>(73,230)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440,685</w:t>
            </w:r>
          </w:p>
        </w:tc>
        <w:tc>
          <w:tcPr>
            <w:tcW w:w="1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3,222,061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79,074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13,867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92,941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(3,188)</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(1,737)</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(4,925)</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Issuances of restricted shares of common stock</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33,455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Forfeitures of restricted shares of common stock</w:t>
            </w:r>
          </w:p>
        </w:tc>
        <w:tc>
          <w:tcPr>
            <w:tcW w:w="10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(11,000)</w:t>
            </w:r>
          </w:p>
        </w:tc>
        <w:tc>
          <w:tcPr>
            <w:tcW w:w="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Common stock contribution to 401(k) plan</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9,253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9,267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Stock issuances from exercise of stock options</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and 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20,226</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Retirement of common stock</w:t>
            </w: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(805)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(806)</w:t>
            </w: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8,328</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8,328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Dividend reinvestment plan</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9,890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3,846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Dividends declared and paid on common</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(121,775)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(121,775)</w:t>
            </w:r>
          </w:p>
        </w:tc>
        <w:tc>
          <w:tcPr>
            <w:tcW w:w="0" w:type="dxa"/>
            <w:vAlign w:val="bottom"/>
          </w:tcPr>
          <w:p>
            <w:pPr>
              <w:spacing w:after="0"/>
              <w:rPr>
                <w:sz w:val="1"/>
                <w:szCs w:val="1"/>
                <w:color w:val="auto"/>
              </w:rPr>
            </w:pPr>
          </w:p>
        </w:tc>
      </w:tr>
      <w:tr>
        <w:trPr>
          <w:trHeight w:val="130"/>
        </w:trPr>
        <w:tc>
          <w:tcPr>
            <w:tcW w:w="2700" w:type="dxa"/>
            <w:vAlign w:val="bottom"/>
            <w:shd w:val="clear" w:color="auto" w:fill="CFF0FC"/>
          </w:tcPr>
          <w:p>
            <w:pPr>
              <w:ind w:left="100"/>
              <w:spacing w:after="0" w:line="130" w:lineRule="exact"/>
              <w:rPr>
                <w:sz w:val="20"/>
                <w:szCs w:val="20"/>
                <w:color w:val="auto"/>
              </w:rPr>
            </w:pPr>
            <w:r>
              <w:rPr>
                <w:rFonts w:ascii="Times New Roman" w:cs="Times New Roman" w:eastAsia="Times New Roman" w:hAnsi="Times New Roman"/>
                <w:sz w:val="12"/>
                <w:szCs w:val="12"/>
                <w:color w:val="auto"/>
              </w:rPr>
              <w:t>stock, $3.00 per share</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March 31, 2026</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40,653,966</w:t>
            </w:r>
          </w:p>
        </w:tc>
        <w:tc>
          <w:tcPr>
            <w:tcW w:w="2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22,360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1,589,968</w:t>
            </w:r>
          </w:p>
        </w:tc>
        <w:tc>
          <w:tcPr>
            <w:tcW w:w="80" w:type="dxa"/>
            <w:vAlign w:val="bottom"/>
          </w:tcPr>
          <w:p>
            <w:pPr>
              <w:spacing w:after="0"/>
              <w:rPr>
                <w:sz w:val="11"/>
                <w:szCs w:val="11"/>
                <w:color w:val="auto"/>
              </w:rPr>
            </w:pPr>
          </w:p>
        </w:tc>
        <w:tc>
          <w:tcPr>
            <w:tcW w:w="220" w:type="dxa"/>
            <w:vAlign w:val="bottom"/>
            <w:gridSpan w:val="2"/>
          </w:tcPr>
          <w:p>
            <w:pPr>
              <w:jc w:val="right"/>
              <w:ind w:right="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(53,493)</w:t>
            </w: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1,276,500</w:t>
            </w:r>
          </w:p>
        </w:tc>
        <w:tc>
          <w:tcPr>
            <w:tcW w:w="80" w:type="dxa"/>
            <w:vAlign w:val="bottom"/>
          </w:tcPr>
          <w:p>
            <w:pPr>
              <w:spacing w:after="0"/>
              <w:rPr>
                <w:sz w:val="11"/>
                <w:szCs w:val="11"/>
                <w:color w:val="auto"/>
              </w:rPr>
            </w:pP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b w:val="1"/>
                <w:bCs w:val="1"/>
                <w:color w:val="auto"/>
              </w:rPr>
              <w:t>(73,230)</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452,815</w:t>
            </w:r>
          </w:p>
        </w:tc>
        <w:tc>
          <w:tcPr>
            <w:tcW w:w="100" w:type="dxa"/>
            <w:vAlign w:val="bottom"/>
          </w:tcPr>
          <w:p>
            <w:pPr>
              <w:spacing w:after="0"/>
              <w:rPr>
                <w:sz w:val="11"/>
                <w:szCs w:val="11"/>
                <w:color w:val="auto"/>
              </w:rPr>
            </w:pPr>
          </w:p>
        </w:tc>
        <w:tc>
          <w:tcPr>
            <w:tcW w:w="2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3,214,920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-119380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2908300</wp:posOffset>
            </wp:positionH>
            <wp:positionV relativeFrom="paragraph">
              <wp:posOffset>-119380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-119380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-119380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-119380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-119380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-119380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-119380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SHAREHOLDERS’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10"/>
                <w:szCs w:val="10"/>
                <w:color w:val="auto"/>
              </w:rPr>
            </w:pPr>
          </w:p>
        </w:tc>
        <w:tc>
          <w:tcPr>
            <w:tcW w:w="78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and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320" w:type="dxa"/>
            <w:vAlign w:val="bottom"/>
            <w:gridSpan w:val="4"/>
          </w:tcPr>
          <w:p>
            <w:pPr>
              <w:jc w:val="center"/>
              <w:ind w:left="62"/>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80" w:type="dxa"/>
            <w:vAlign w:val="bottom"/>
          </w:tcPr>
          <w:p>
            <w:pPr>
              <w:spacing w:after="0"/>
              <w:rPr>
                <w:sz w:val="10"/>
                <w:szCs w:val="10"/>
                <w:color w:val="auto"/>
              </w:rPr>
            </w:pPr>
          </w:p>
        </w:tc>
        <w:tc>
          <w:tcPr>
            <w:tcW w:w="78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Preferred</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7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2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10"/>
                <w:szCs w:val="10"/>
                <w:color w:val="auto"/>
              </w:rPr>
            </w:pPr>
          </w:p>
        </w:tc>
        <w:tc>
          <w:tcPr>
            <w:tcW w:w="7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74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5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share and per share data)</w:t>
            </w:r>
          </w:p>
        </w:tc>
        <w:tc>
          <w:tcPr>
            <w:tcW w:w="36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 Shares</w:t>
            </w:r>
          </w:p>
        </w:tc>
        <w:tc>
          <w:tcPr>
            <w:tcW w:w="22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40,352,263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22,220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1,472,170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(59,893)</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1,295,972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(73,479)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407,248</w:t>
            </w:r>
          </w:p>
        </w:tc>
        <w:tc>
          <w:tcPr>
            <w:tcW w:w="340" w:type="dxa"/>
            <w:vAlign w:val="bottom"/>
            <w:gridSpan w:val="3"/>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3,064,238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80,061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14,479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94,540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w:t>
            </w: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164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248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Issuances of restricted shares of common stock</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52,503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Forfeitures of restricted shares of common stock</w:t>
            </w:r>
          </w:p>
        </w:tc>
        <w:tc>
          <w:tcPr>
            <w:tcW w:w="12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Common stock contribution to 401(k) plan</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18,450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8,734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8,743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Stock issuances from exercise of stock options</w:t>
            </w: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and employee stock purchase plan</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43,568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11,027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Common stock issued for W.L. Lashley &amp;</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Associates, Inc. (“Lashley”)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Investment in Lashley</w:t>
            </w: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999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999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9,879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Dividend reinvestment plan</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13,942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6,541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167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6,708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Dividends declared and paid on common</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(109,037)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(109,037)</w:t>
            </w:r>
          </w:p>
        </w:tc>
        <w:tc>
          <w:tcPr>
            <w:tcW w:w="0" w:type="dxa"/>
            <w:vAlign w:val="bottom"/>
          </w:tcPr>
          <w:p>
            <w:pPr>
              <w:spacing w:after="0"/>
              <w:rPr>
                <w:sz w:val="1"/>
                <w:szCs w:val="1"/>
                <w:color w:val="auto"/>
              </w:rPr>
            </w:pPr>
          </w:p>
        </w:tc>
      </w:tr>
      <w:tr>
        <w:trPr>
          <w:trHeight w:val="130"/>
        </w:trPr>
        <w:tc>
          <w:tcPr>
            <w:tcW w:w="262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color w:val="auto"/>
              </w:rPr>
              <w:t>stock, $2.70 per share</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March 31, 2025</w:t>
            </w: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40,477,762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22,276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1,508,819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(59,729)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1,266,996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(73,312)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422,810</w:t>
            </w:r>
          </w:p>
        </w:tc>
        <w:tc>
          <w:tcPr>
            <w:tcW w:w="340" w:type="dxa"/>
            <w:vAlign w:val="bottom"/>
            <w:gridSpan w:val="3"/>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3,087,860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-24765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-7620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-24765</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-7620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-24765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-24765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-7620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r>
      <w:tr>
        <w:trPr>
          <w:trHeight w:val="142"/>
        </w:trPr>
        <w:tc>
          <w:tcPr>
            <w:tcW w:w="6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92,941</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94,540</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Non-cash contribution to 401(k) plan</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from investment in unconsolidated entity</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(5,146)</w:t>
            </w:r>
          </w:p>
        </w:tc>
      </w:tr>
      <w:tr>
        <w:trPr>
          <w:trHeight w:val="216"/>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(45,516)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83,864</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(330,428)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(389,990)</w:t>
            </w:r>
          </w:p>
        </w:tc>
      </w:tr>
      <w:tr>
        <w:trPr>
          <w:trHeight w:val="216"/>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234,710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(18,905)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(177,644)</w:t>
            </w:r>
          </w:p>
        </w:tc>
      </w:tr>
      <w:tr>
        <w:trPr>
          <w:trHeight w:val="210"/>
        </w:trPr>
        <w:tc>
          <w:tcPr>
            <w:tcW w:w="6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cash investments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255,669</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(3,670)</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(7,541)</w:t>
            </w: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short-term cash investments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93,138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244,556</w:t>
            </w:r>
          </w:p>
        </w:tc>
        <w:tc>
          <w:tcPr>
            <w:tcW w:w="100" w:type="dxa"/>
            <w:vAlign w:val="bottom"/>
            <w:tcBorders>
              <w:top w:val="single" w:sz="8" w:color="CFF0FC"/>
            </w:tcBorders>
          </w:tcPr>
          <w:p>
            <w:pPr>
              <w:spacing w:after="0"/>
              <w:rPr>
                <w:sz w:val="18"/>
                <w:szCs w:val="18"/>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(121,775)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(109,037)</w:t>
            </w: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repayments of finance lease liabilities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(1,218)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(69,829)</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non-controlling interest for investment in Lashley</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dividend reinvestment plan</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issuances of Common stock under employee related plans</w:t>
            </w: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(113,970)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(161,679)</w:t>
            </w:r>
          </w:p>
        </w:tc>
      </w:tr>
      <w:tr>
        <w:trPr>
          <w:trHeight w:val="20"/>
        </w:trPr>
        <w:tc>
          <w:tcPr>
            <w:tcW w:w="62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(40,604)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(94,448)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526,271</w:t>
            </w:r>
          </w:p>
        </w:tc>
        <w:tc>
          <w:tcPr>
            <w:tcW w:w="100" w:type="dxa"/>
            <w:vAlign w:val="bottom"/>
          </w:tcPr>
          <w:p>
            <w:pPr>
              <w:spacing w:after="0"/>
              <w:rPr>
                <w:sz w:val="18"/>
                <w:szCs w:val="18"/>
                <w:color w:val="auto"/>
              </w:rPr>
            </w:pPr>
          </w:p>
        </w:tc>
      </w:tr>
      <w:tr>
        <w:trPr>
          <w:trHeight w:val="24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392,679</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431,823</w:t>
            </w:r>
          </w:p>
        </w:tc>
        <w:tc>
          <w:tcPr>
            <w:tcW w:w="100" w:type="dxa"/>
            <w:vAlign w:val="bottom"/>
            <w:shd w:val="clear" w:color="auto" w:fill="CFF0FC"/>
          </w:tcPr>
          <w:p>
            <w:pPr>
              <w:spacing w:after="0"/>
              <w:rPr>
                <w:sz w:val="21"/>
                <w:szCs w:val="21"/>
                <w:color w:val="auto"/>
              </w:rPr>
            </w:pPr>
          </w:p>
        </w:tc>
      </w:tr>
      <w:tr>
        <w:trPr>
          <w:trHeight w:val="197"/>
        </w:trPr>
        <w:tc>
          <w:tcPr>
            <w:tcW w:w="62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issued for Lashley</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-3102610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-3102610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-2270760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-2270760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-873760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-873760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-299720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-281940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-299720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-281940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CONDENSED CONSOLIDATED UNAUDITED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62" w:lineRule="exact"/>
        <w:rPr>
          <w:sz w:val="20"/>
          <w:szCs w:val="20"/>
          <w:color w:val="auto"/>
        </w:rPr>
      </w:pPr>
    </w:p>
    <w:p>
      <w:pPr>
        <w:ind w:right="7120" w:firstLine="4"/>
        <w:spacing w:after="0" w:line="400" w:lineRule="auto"/>
        <w:tabs>
          <w:tab w:leader="none" w:pos="32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Consolidation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Watsco, Inc. (collectively with its subsidiaries, “Watsco,” the “Company,” “we,” “us,” or “our”) was incorporated in Florida in 1956 and is the largest distributor of air conditioning, heating and refrigeration equipment and related parts and supplies (“HVAC/R”) in the HVAC/R distribution industry in North America. The accompanying March 31, 2026 interim condensed consolidated unaudited financial statements have been prepared pursuant to the rules and regulations of the Securities and Exchange Commission. Certain information and note disclosures normally included in the annual financial statements prepared in accordance with U.S. Generally Accepted Accounting Principles (“GAAP”) have been condensed or omitted pursuant to those rules and regulations, but we believe the disclosures made are adequate to make the information presented not misleading. In the opinion of management, all adjustments, consisting of normal and recurring adjustments, necessary for a fair presentation have been included in the condensed consolidated unaudited financial statements included herein. These statements should be read in conjunction with the audited consolidated financial statements and notes thereto included in our 2025 Annual Report on Form 10-K.</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unaudited financial statements include (i) the accounts of Watsco and its wholly owned subsidiaries, (ii) the accounts of five U.S. joint ventures and their subsidiaries with Carrier Global Corporation, which we refer to as Carrier, in which we have an 80% controlling interest and Carrier has a 20% non-controlling interest, (iii) the accounts of a Canadian joint venture with Carrier, in which we have a 60% controlling interest and Carrier has a 40% non-controlling interest, and (iv) a 38.4% investment in Russell Sigler, Inc. (“RSI”), owned by one of the Carrier joint ventures that is accounted for under the equity method of accounting. All significant intercompany balances and transactions have been eliminated in consolidation.</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operations for the quarter ended March 31, 2026 are not necessarily indicative of the results to be expected for the year ending December 31, 2026. 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new construction throughout most of the markets we serve tends to be fairly evenly distributed throughout the year and depends largely on housing completions and related weather and economic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Cash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cash investments consist of certificates of deposit.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which we have the ability to exercise significant influence, but do not control, are accounted for under the equity method of accounting and are included in investment in unconsolidated entity in our condensed consolidated unaudited balance sheets. Under this method of accounting, our proportionate share of the net income or loss of the investee is included in other income in our condensed consolidated unaudited statements of income. The excess, if any, of the carrying amount of our investment over our ownership percentage in the underlying net assets of the investee is attributed to certain fair value adjustments with the remaining portion recognized as goodwill.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unaudited financial statements in conformity with U.S. GAAP requires management to make estimates and assumptions that affect the reported amounts of assets and liabilities and disclosure of contingent assets and liabilities at the date of the condensed consolidated unaudited financial statements and the reported amounts of revenues and expenses for the reporting period. Significant estimates include valuation reserves for accounts receivable, net realizable value adjustments to inventories, income taxes, reserves related to loss contingencies and the valuation of goodwill, indefinite-lived intangible assets, and long-lived assets. While we believe that these estimates are reasonable, actual results could differ from such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FASB issued amended guidance to provide the option to elect a practical expedient for the application of the expected credit loss model. Under this practical expedient, an entity can assume that the current conditions it has applied in determining credit loss allowances for current accounts receivable and current contract assets remain unchanged for the remaining life of those assets. This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amendment is effective for annual reporting periods beginning after December 15, 2025, and interim reporting periods within those annual reporting periods, with early adoption permitted. The adoption of this guidance on January 1, 2026 did not have a material impact on our condensed consolidated unaudited financial statements.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 Disaggregation</w:t>
      </w:r>
    </w:p>
    <w:p>
      <w:pPr>
        <w:spacing w:after="0" w:line="119"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guidance that requires entities to disclose additional information about certain expenses in the notes to the financial statements. This guidance is effective for annual reporting periods beginning after December 15, 2026, and interim reporting periods beginning after December 15, 2027, with early adoption permitted. We are evaluating the impact of adopting this new guidance on our consolidated financial statements.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Internal Use Software</w:t>
      </w:r>
    </w:p>
    <w:p>
      <w:pPr>
        <w:spacing w:after="0" w:line="119"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updated guidance on the accounting for internal use software costs. The updated guidance removes all references to project stages to be neutral to different software development methods and clarifies the threshold entities apply to begin capitalizing costs. This guidance is effective for annual reporting periods beginning after December 15, 2027 and interim reporting periods within those annual reporting periods. We are evaluating the impact of adopting this guidance on our consolidated financial statements.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Interim Reporting</w:t>
      </w:r>
    </w:p>
    <w:p>
      <w:pPr>
        <w:spacing w:after="0" w:line="117" w:lineRule="exact"/>
        <w:rPr>
          <w:sz w:val="20"/>
          <w:szCs w:val="20"/>
          <w:color w:val="auto"/>
        </w:rPr>
      </w:pPr>
    </w:p>
    <w:p>
      <w:pPr>
        <w:jc w:val="both"/>
        <w:ind w:left="660" w:right="660"/>
        <w:spacing w:after="0" w:line="257" w:lineRule="auto"/>
        <w:rPr>
          <w:sz w:val="20"/>
          <w:szCs w:val="20"/>
          <w:color w:val="auto"/>
        </w:rPr>
      </w:pPr>
      <w:r>
        <w:rPr>
          <w:rFonts w:ascii="Times New Roman" w:cs="Times New Roman" w:eastAsia="Times New Roman" w:hAnsi="Times New Roman"/>
          <w:sz w:val="18"/>
          <w:szCs w:val="18"/>
          <w:color w:val="00172E"/>
        </w:rPr>
        <w:t>In December 2025</w:t>
      </w:r>
      <w:r>
        <w:rPr>
          <w:rFonts w:ascii="Times New Roman" w:cs="Times New Roman" w:eastAsia="Times New Roman" w:hAnsi="Times New Roman"/>
          <w:sz w:val="18"/>
          <w:szCs w:val="18"/>
          <w:i w:val="1"/>
          <w:iCs w:val="1"/>
          <w:color w:val="00172E"/>
        </w:rPr>
        <w:t>,</w:t>
      </w:r>
      <w:r>
        <w:rPr>
          <w:rFonts w:ascii="Times New Roman" w:cs="Times New Roman" w:eastAsia="Times New Roman" w:hAnsi="Times New Roman"/>
          <w:sz w:val="18"/>
          <w:szCs w:val="18"/>
          <w:color w:val="00172E"/>
        </w:rPr>
        <w:t xml:space="preserve"> the FASB issued guidance that clarifies the scope and requirements for interim financial statement disclosures. The guidance create a comprehensive list of required interim disclosures and introduce a disclosure principle requiring entities to disclose in interim periods any event or change since the previous year end that has had a material effect on the entity. This guidance may be applied prospectively or retrospectively and is effective for interim reporting periods within annual periods beginning after December 15, 2027, with early adoption permitted. </w:t>
      </w:r>
      <w:r>
        <w:rPr>
          <w:rFonts w:ascii="Times New Roman" w:cs="Times New Roman" w:eastAsia="Times New Roman" w:hAnsi="Times New Roman"/>
          <w:sz w:val="18"/>
          <w:szCs w:val="18"/>
          <w:color w:val="000000"/>
        </w:rPr>
        <w:t>We are evaluating the impact of adopting this guidance on our consolidated</w:t>
      </w:r>
      <w:r>
        <w:rPr>
          <w:rFonts w:ascii="Times New Roman" w:cs="Times New Roman" w:eastAsia="Times New Roman" w:hAnsi="Times New Roman"/>
          <w:sz w:val="18"/>
          <w:szCs w:val="18"/>
          <w:color w:val="00172E"/>
        </w:rPr>
        <w:t xml:space="preserve"> </w:t>
      </w:r>
      <w:r>
        <w:rPr>
          <w:rFonts w:ascii="Times New Roman" w:cs="Times New Roman" w:eastAsia="Times New Roman" w:hAnsi="Times New Roman"/>
          <w:sz w:val="18"/>
          <w:szCs w:val="18"/>
          <w:color w:val="000000"/>
        </w:rPr>
        <w:t>financial statements.</w:t>
      </w:r>
    </w:p>
    <w:p>
      <w:pPr>
        <w:spacing w:after="0" w:line="140" w:lineRule="exact"/>
        <w:rPr>
          <w:sz w:val="20"/>
          <w:szCs w:val="20"/>
          <w:color w:val="auto"/>
        </w:rPr>
      </w:pPr>
    </w:p>
    <w:p>
      <w:pPr>
        <w:ind w:left="660" w:right="8240" w:firstLine="4"/>
        <w:spacing w:after="0" w:line="378" w:lineRule="auto"/>
        <w:tabs>
          <w:tab w:leader="none" w:pos="9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Disaggregation of Revenues</w:t>
      </w: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disaggregated by primary geographical regions and major product lines within our single reporting segment: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3"/>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Quarters Ended</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5"/>
        </w:trPr>
        <w:tc>
          <w:tcPr>
            <w:tcW w:w="6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0"/>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2"/>
                <w:szCs w:val="12"/>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Primary Geographical Regions: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1,395,485</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1,377,633</w:t>
            </w:r>
          </w:p>
        </w:tc>
        <w:tc>
          <w:tcPr>
            <w:tcW w:w="18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67,388</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76,413</w:t>
            </w:r>
          </w:p>
        </w:tc>
        <w:tc>
          <w:tcPr>
            <w:tcW w:w="18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 and the Caribbean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70,137</w:t>
            </w: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180" w:type="dxa"/>
            <w:vAlign w:val="bottom"/>
          </w:tcPr>
          <w:p>
            <w:pPr>
              <w:spacing w:after="0"/>
              <w:rPr>
                <w:sz w:val="18"/>
                <w:szCs w:val="18"/>
                <w:color w:val="auto"/>
              </w:rPr>
            </w:pPr>
          </w:p>
        </w:tc>
      </w:tr>
      <w:tr>
        <w:trPr>
          <w:trHeight w:val="250"/>
        </w:trPr>
        <w:tc>
          <w:tcPr>
            <w:tcW w:w="60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1,533,010</w:t>
            </w:r>
          </w:p>
        </w:tc>
        <w:tc>
          <w:tcPr>
            <w:tcW w:w="3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1,531,086</w:t>
            </w:r>
          </w:p>
        </w:tc>
        <w:tc>
          <w:tcPr>
            <w:tcW w:w="1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-24765</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-7620</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-24765</wp:posOffset>
            </wp:positionV>
            <wp:extent cx="1117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-7620</wp:posOffset>
            </wp:positionV>
            <wp:extent cx="1117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Major Product Lines:</w:t>
            </w:r>
          </w:p>
        </w:tc>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HVAC equipment</w:t>
            </w:r>
          </w:p>
        </w:tc>
        <w:tc>
          <w:tcPr>
            <w:tcW w:w="44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HVAC products</w:t>
            </w:r>
          </w:p>
        </w:tc>
        <w:tc>
          <w:tcPr>
            <w:tcW w:w="4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refrigeration products</w:t>
            </w:r>
          </w:p>
        </w:tc>
        <w:tc>
          <w:tcPr>
            <w:tcW w:w="24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21"/>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20" w:type="dxa"/>
            <w:vAlign w:val="bottom"/>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10 of 27</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-1010920</wp:posOffset>
            </wp:positionV>
            <wp:extent cx="128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-1010920</wp:posOffset>
            </wp:positionV>
            <wp:extent cx="111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hanging="316"/>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 for our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Quarters Ended</w:t>
            </w:r>
          </w:p>
        </w:tc>
      </w:tr>
      <w:tr>
        <w:trPr>
          <w:trHeight w:val="165"/>
        </w:trPr>
        <w:tc>
          <w:tcPr>
            <w:tcW w:w="6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42"/>
        </w:trPr>
        <w:tc>
          <w:tcPr>
            <w:tcW w:w="6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Watsco, Inc. shareholders</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79,074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restricted common stock</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Earnings allocated to Watsco, Inc. shareholders</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72,889</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680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w w:val="97"/>
              </w:rPr>
              <w:t>37,932,74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74" w:lineRule="exact"/>
              <w:rPr>
                <w:sz w:val="20"/>
                <w:szCs w:val="20"/>
                <w:color w:val="auto"/>
              </w:rPr>
            </w:pPr>
            <w:r>
              <w:rPr>
                <w:rFonts w:ascii="Times New Roman" w:cs="Times New Roman" w:eastAsia="Times New Roman" w:hAnsi="Times New Roman"/>
                <w:sz w:val="18"/>
                <w:szCs w:val="18"/>
                <w:color w:val="auto"/>
                <w:w w:val="99"/>
              </w:rPr>
              <w:t>37,752,20</w:t>
            </w:r>
          </w:p>
        </w:tc>
        <w:tc>
          <w:tcPr>
            <w:tcW w:w="100" w:type="dxa"/>
            <w:vAlign w:val="bottom"/>
            <w:shd w:val="clear" w:color="auto" w:fill="CFF0FC"/>
          </w:tcPr>
          <w:p>
            <w:pPr>
              <w:spacing w:after="0"/>
              <w:rPr>
                <w:sz w:val="15"/>
                <w:szCs w:val="15"/>
                <w:color w:val="auto"/>
              </w:rPr>
            </w:pPr>
          </w:p>
        </w:tc>
      </w:tr>
      <w:tr>
        <w:trPr>
          <w:trHeight w:val="238"/>
        </w:trPr>
        <w:tc>
          <w:tcPr>
            <w:tcW w:w="68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for common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earnings for Basic:</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64,703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72,889</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Watsco, Inc. shareholders</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79,074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restricted common stock</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Earnings allocated to Watsco, Inc. shareholders</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72,889</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680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w w:val="97"/>
              </w:rPr>
              <w:t>37,932,74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74" w:lineRule="exact"/>
              <w:rPr>
                <w:sz w:val="20"/>
                <w:szCs w:val="20"/>
                <w:color w:val="auto"/>
              </w:rPr>
            </w:pPr>
            <w:r>
              <w:rPr>
                <w:rFonts w:ascii="Times New Roman" w:cs="Times New Roman" w:eastAsia="Times New Roman" w:hAnsi="Times New Roman"/>
                <w:sz w:val="18"/>
                <w:szCs w:val="18"/>
                <w:color w:val="auto"/>
                <w:w w:val="99"/>
              </w:rPr>
              <w:t>37,752,20</w:t>
            </w:r>
          </w:p>
        </w:tc>
        <w:tc>
          <w:tcPr>
            <w:tcW w:w="100" w:type="dxa"/>
            <w:vAlign w:val="bottom"/>
            <w:shd w:val="clear" w:color="auto" w:fill="CFF0FC"/>
          </w:tcPr>
          <w:p>
            <w:pPr>
              <w:spacing w:after="0"/>
              <w:rPr>
                <w:sz w:val="15"/>
                <w:szCs w:val="15"/>
                <w:color w:val="auto"/>
              </w:rPr>
            </w:pPr>
          </w:p>
        </w:tc>
      </w:tr>
      <w:tr>
        <w:trPr>
          <w:trHeight w:val="238"/>
        </w:trPr>
        <w:tc>
          <w:tcPr>
            <w:tcW w:w="68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31,837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101,052</w:t>
            </w:r>
          </w:p>
        </w:tc>
        <w:tc>
          <w:tcPr>
            <w:tcW w:w="100" w:type="dxa"/>
            <w:vAlign w:val="bottom"/>
          </w:tcPr>
          <w:p>
            <w:pPr>
              <w:spacing w:after="0"/>
              <w:rPr>
                <w:sz w:val="18"/>
                <w:szCs w:val="18"/>
                <w:color w:val="auto"/>
              </w:rPr>
            </w:pPr>
          </w:p>
        </w:tc>
      </w:tr>
      <w:tr>
        <w:trPr>
          <w:trHeight w:val="187"/>
        </w:trPr>
        <w:tc>
          <w:tcPr>
            <w:tcW w:w="68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37,964,58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color w:val="auto"/>
                <w:w w:val="99"/>
              </w:rPr>
              <w:t>37,853,25</w:t>
            </w:r>
          </w:p>
        </w:tc>
        <w:tc>
          <w:tcPr>
            <w:tcW w:w="100" w:type="dxa"/>
            <w:vAlign w:val="bottom"/>
            <w:shd w:val="clear" w:color="auto" w:fill="CFF0FC"/>
          </w:tcPr>
          <w:p>
            <w:pPr>
              <w:spacing w:after="0"/>
              <w:rPr>
                <w:sz w:val="16"/>
                <w:szCs w:val="16"/>
                <w:color w:val="auto"/>
              </w:rPr>
            </w:pPr>
          </w:p>
        </w:tc>
      </w:tr>
      <w:tr>
        <w:trPr>
          <w:trHeight w:val="278"/>
        </w:trPr>
        <w:tc>
          <w:tcPr>
            <w:tcW w:w="68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6"/>
        </w:trPr>
        <w:tc>
          <w:tcPr>
            <w:tcW w:w="6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 for common stock</w:t>
            </w: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1.87</w:t>
            </w:r>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7"/>
                <w:szCs w:val="17"/>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stock options not included above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66,592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-2742565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-2742565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-1748155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-1748155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-1165225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-1165225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-299720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-281940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-299720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-281940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earnings per share for our Common stock assumes the conversion of all our Class B common stock into Common stock as of the beginning of the fiscal year; therefore, no allocation of earnings to Class B common stock is required. At March 31, 2026 and 2025, our outstanding Class B common stock was convertible into 3,383,702 and 3,325,027 shares of our Common stock, respectively.</w:t>
      </w:r>
    </w:p>
    <w:p>
      <w:pPr>
        <w:spacing w:after="0" w:line="135" w:lineRule="exact"/>
        <w:rPr>
          <w:sz w:val="20"/>
          <w:szCs w:val="20"/>
          <w:color w:val="auto"/>
        </w:rPr>
      </w:pPr>
    </w:p>
    <w:p>
      <w:pPr>
        <w:ind w:left="320" w:hanging="316"/>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(LOSS)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comprehensive (loss) income consists of the foreign currency translation adjustment associated with our Canadian operations’ use of the Canadian dollar as their functional currency.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accumulated other comprehensive loss, net of tax,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Quarters Ended March 31,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(50,305)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(59,893)</w:t>
            </w:r>
          </w:p>
        </w:tc>
      </w:tr>
      <w:tr>
        <w:trPr>
          <w:trHeight w:val="216"/>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period other comprehensive (loss) income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(3,188)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8"/>
                <w:szCs w:val="18"/>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(53,493)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(59,729)</w:t>
            </w: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-153670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-153670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Ice Equipment Distributors, Inc.</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2025, one of our wholly owned subsidiaries acquired Southern Ice Equipment Distributors, Inc., a distributor of food service and ice machine equipment, parts and supplies, operating from seven locations in Arizona, Arkansas, Louisiana, Mississippi, New Mexico, and Texas. Consideration for the purchase consisted of $14,150 in cash, net of cash acquired of $699, and 7,400 shares of Common stock having a fair value of $3,133 net of a discount for lack of marketability. The purchase price resulted in the recognition of $7,872 of goodwill and intangibles. The fair value of the identified intangible assets was $3,651 and consisted of $2,795 in trade names and distribution rights and $856 in customer relationships to be amortized over an 18-year period. The tax basis of such goodwill is deductible for income tax purposes over 15 years.</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Hawkins HVAC Distributors, Inc.</w:t>
      </w:r>
    </w:p>
    <w:p>
      <w:pPr>
        <w:spacing w:after="0" w:line="202"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On April 1, 2025, one of our wholly owned subsidiaries acquired Hawkins HVAC Distributors, Inc., a distributor of residential HVAC equipment and supplies, operating from two locations in North Carolina and South Carolina. Consideration for the purchase consisted of $2,452 in cash, net of cash acquired of $368. The purchase price resulted in the recognition of $269 in goodwill. The tax basis of such goodwill is deductible for income tax purposes over 15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W.L. Lashley &amp; Associates, Inc.</w:t>
      </w:r>
    </w:p>
    <w:p>
      <w:pPr>
        <w:spacing w:after="0" w:line="121"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On January 3, 2025, Carrier Enterprise I, one of our joint ventures with Carrier, in which we have an 80% controlling interest, acquired Lashley, a distributor of commercial HVAC supplies, operating from one location in Houston, Texas. Consideration for the purchase consisted of $3,662 in cash, net of cash acquired of $837, 1,036 shares of Common stock having a fair value of $493, and $838 for repayment of indebtedness. Carrier contributed $999 cash to Carrier Enterprise I in connection with the acquisition of Lashley. The purchase price resulted in the recognition of $3,064 in goodwill. The tax basis of such goodwill is deductible for income tax purposes over 15 years.</w:t>
      </w:r>
    </w:p>
    <w:p>
      <w:pPr>
        <w:spacing w:after="0" w:line="147"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The results of operations of these acquisitions have been included in the condensed consolidated unaudited financial statements from their respective dates of acquisition. The pro forma effect of these acquisitions was not deemed significant to our condensed consolidated unaudited financial statements.</w:t>
      </w:r>
    </w:p>
    <w:p>
      <w:pPr>
        <w:spacing w:after="0" w:line="131" w:lineRule="exact"/>
        <w:rPr>
          <w:sz w:val="20"/>
          <w:szCs w:val="20"/>
          <w:color w:val="auto"/>
        </w:rPr>
      </w:pPr>
    </w:p>
    <w:p>
      <w:pPr>
        <w:ind w:left="980" w:hanging="316"/>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We enter into foreign currency forward and option contracts to offset the earnings impact that foreign exchange rate fluctuations would otherwise have on certain monetary liabilities that are denominated in nonfunctional currencies.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121"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18"/>
          <w:szCs w:val="18"/>
          <w:color w:val="auto"/>
        </w:rPr>
        <w:t>We have entered into foreign currency forward contracts that are either not designated as hedges or did not qualify for hedge accounting. These derivative instruments were effective economic hedges for all of the periods presented. The fair value gains and losses on these contracts are recognized in earnings as a component of selling, general and administrative expenses. We had only one foreign currency forward contract not designated as a hedging instrument at March 31, 2026, the total notional value of which was $8,900. Such contract expired in April 2026.</w:t>
      </w:r>
    </w:p>
    <w:p>
      <w:pPr>
        <w:spacing w:after="0" w:line="143"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We recognized losses of $250 and $153 from foreign currency forward contracts not designated as hedging instruments in our condensed consolidated unaudited statements of income for the quarters ended March 31, 2026 and 2025, respectively.</w:t>
      </w:r>
    </w:p>
    <w:p>
      <w:pPr>
        <w:spacing w:after="0" w:line="117" w:lineRule="exact"/>
        <w:rPr>
          <w:sz w:val="20"/>
          <w:szCs w:val="20"/>
          <w:color w:val="auto"/>
        </w:rPr>
      </w:pPr>
    </w:p>
    <w:p>
      <w:pPr>
        <w:ind w:left="980" w:hanging="316"/>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carried at fair value that are measured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left="360"/>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left="340"/>
              <w:spacing w:after="0"/>
              <w:rPr>
                <w:sz w:val="20"/>
                <w:szCs w:val="20"/>
                <w:color w:val="auto"/>
              </w:rPr>
            </w:pPr>
            <w:r>
              <w:rPr>
                <w:rFonts w:ascii="Times New Roman" w:cs="Times New Roman" w:eastAsia="Times New Roman" w:hAnsi="Times New Roman"/>
                <w:sz w:val="13"/>
                <w:szCs w:val="13"/>
                <w:b w:val="1"/>
                <w:bCs w:val="1"/>
                <w:color w:val="auto"/>
              </w:rPr>
              <w:t>at March 31, 2026 Using</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7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cash investments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equity securities</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276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Accrued expenses &amp; other</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left="360"/>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3280" w:type="dxa"/>
            <w:vAlign w:val="bottom"/>
            <w:gridSpan w:val="9"/>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rPr>
              <w:t>at December 31, 2025 Using</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7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cash investments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Private equity securities</w:t>
            </w:r>
          </w:p>
        </w:tc>
        <w:tc>
          <w:tcPr>
            <w:tcW w:w="2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12 of 27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for these assets and liabilities, as well as the level of input used to measure fair value:</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Certificates of deposit </w:t>
      </w:r>
      <w:r>
        <w:rPr>
          <w:rFonts w:ascii="Times New Roman" w:cs="Times New Roman" w:eastAsia="Times New Roman" w:hAnsi="Times New Roman"/>
          <w:sz w:val="18"/>
          <w:szCs w:val="18"/>
          <w:color w:val="auto"/>
        </w:rPr>
        <w:t>– these investments consist of certificates of deposit with varying maturities. We classify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Level 2 of the valuation hierarchy because fair value is based on indirectly observable market inputs.</w:t>
      </w:r>
    </w:p>
    <w:p>
      <w:pPr>
        <w:spacing w:after="0" w:line="15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 these investments are exchange-traded equity securities. Fair values for these investments are based on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prices from active markets and are therefore classified within Level 1 of the fair value hierarchy.</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equity securities </w:t>
      </w:r>
      <w:r>
        <w:rPr>
          <w:rFonts w:ascii="Times New Roman" w:cs="Times New Roman" w:eastAsia="Times New Roman" w:hAnsi="Times New Roman"/>
          <w:sz w:val="18"/>
          <w:szCs w:val="18"/>
          <w:color w:val="auto"/>
        </w:rPr>
        <w:t>– other investments in which fair value inputs are unobservable and are therefore classified within Level 3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hierarchy.</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these derivatives are foreign currency forward contracts. See Note 6. Fair value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market inputs, such as forward rates in active markets; therefore, we classify these derivatives within Level 2 of the valuation hierarchy.</w:t>
      </w:r>
    </w:p>
    <w:p>
      <w:pPr>
        <w:spacing w:after="0" w:line="131" w:lineRule="exact"/>
        <w:rPr>
          <w:sz w:val="20"/>
          <w:szCs w:val="20"/>
          <w:color w:val="auto"/>
        </w:rPr>
      </w:pPr>
    </w:p>
    <w:p>
      <w:pPr>
        <w:ind w:right="7080" w:firstLine="4"/>
        <w:spacing w:after="0" w:line="378" w:lineRule="auto"/>
        <w:tabs>
          <w:tab w:leader="none" w:pos="3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Dividend Reinvestment Plan</w:t>
      </w:r>
    </w:p>
    <w:p>
      <w:pPr>
        <w:jc w:val="both"/>
        <w:spacing w:after="0" w:line="263" w:lineRule="auto"/>
        <w:rPr>
          <w:sz w:val="20"/>
          <w:szCs w:val="20"/>
          <w:color w:val="auto"/>
        </w:rPr>
      </w:pPr>
      <w:r>
        <w:rPr>
          <w:rFonts w:ascii="Times New Roman" w:cs="Times New Roman" w:eastAsia="Times New Roman" w:hAnsi="Times New Roman"/>
          <w:sz w:val="18"/>
          <w:szCs w:val="18"/>
          <w:color w:val="auto"/>
        </w:rPr>
        <w:t>In March 2024, we implemented the Watsco, Inc. Dividend Reinvestment Plan (the “DRIP”), under which existing shareholders may, in accordance with the DRIP, acquire up to an aggregate of 300,000 shares of each of Common and Class B common stock, as applicable, by reinvesting all or a portion of the cash dividends paid on such shareholders’ shares of common stock. The DRIP has been registered under the Securities Act of 1933, as amended (the “Securities Act”), pursuant to our automatically effective shelf registration statement on Form S-3 (File No. 333-282975). During the quarters ended March 31, 2026 and 2025, 9,890 and 13,942 shares of our common stock, respectively, were issued under the DRIP.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 2024, we entered into an amended and restated sales agreement with Robert W. Baird &amp; Co. Inc. (the “2024 ATM Program”), which enables the issuance and sale of Common stock for a maximum aggregate offering amount of up to $400,000. At March 31, 2026, $400,000 was available for sale under the 2024 ATM Program. The offer and sale of shares under the 2024 ATM Program have been registered under the Securities Act pursuant to our automatically effective shelf registration statement on Form S-3 (File No. 333-282975).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cash dividends of $3.00 and $2.70 per share on common stock during the three months ended March 31, 2026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1,431 shares of common stock with an aggregate fair market value of $564 were withheld as payment in lieu of cash to satisfy tax withholding obligations in connection with the vesting of restricted stock. These shares were retired upon delivery.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Stock Options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Common stock issued upon the exercise of stock options during the quarters ended March 31, 2026 and 2025 was $5,114 and $10,398, respectively.</w:t>
      </w:r>
    </w:p>
    <w:p>
      <w:pPr>
        <w:spacing w:after="0" w:line="12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During the quarter ended March 31, 2026, 589 shares of Common stock with an aggregate fair market value of $242 were withheld as payment in lieu of cash for stock option exercises and related tax withholdings. These shares were retired upon delivery.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quarters ended March 31, 2026 and 2025, we received proceeds of $648 and $651, respectively, for shares of our Common stock purchased under our employee stock purchase plan.</w:t>
      </w:r>
    </w:p>
    <w:p>
      <w:pPr>
        <w:spacing w:after="0" w:line="117" w:lineRule="exact"/>
        <w:rPr>
          <w:sz w:val="20"/>
          <w:szCs w:val="20"/>
          <w:color w:val="auto"/>
        </w:rPr>
      </w:pPr>
    </w:p>
    <w:p>
      <w:pPr>
        <w:ind w:right="5940" w:firstLine="4"/>
        <w:spacing w:after="0" w:line="377" w:lineRule="auto"/>
        <w:tabs>
          <w:tab w:leader="none" w:pos="3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 Claims, and Assessments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incidental to the operation of our business. We vigorously defend all matters in which we or our subsidiaries are named defendants and, for insurable losses, maintain significant levels of insurance to protect against adverse judgments, claims or assessments that may affect us. Although the adequacy of existing insurance coverage and the outcome of any legal proceedings cannot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predicted with certainty, based on the current information available, we do not believe the ultimate liability associated with any known claims or litigation will have a material adverse effect on our financial condition or results of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2009, we have been a party to an agreement (the “Agreement”) with Gree Electric Appliances, Inc. of Zhuhai, China (“Gree”) that, among other things, provides us with exclusive distribution rights for certain Gree-branded products in the United States. A dispute has arisen between Gree and Watsco as to whether the automatic renewal provisions of the Agreement extended the term of the Agreement for an additional 10 years before the prior term was to end in January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2026, Gree filed a complaint for declaratory judgment in Florida’s Circuit Court for Miami-Dade County, seeking a judicial determination that the Agreement did not renew for a successive term and has in fact been terminated. In April 2026, we filed our answer and affirmative defenses to Gree’s complaint, and we interposed counterclaims against Gree to enforce our rights under the Agreement, including seeking a judicial determination that the Agreement renewed for an additional 10-year period and remains in full force and effect, and an award for any damages resulting from Gree’s improper purported termination or non-renewal of the Agreement and Gree’s other related acts. We intend to vigorously prosecute our counterclaims and affirm our position that the Agreement automatically renewed for an additional 10-year period, and to vigorously defend against Gree’s assertion that the Agreement was not renewed.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purchase Gree-branded products from Gree, and Gree has continued to sell products to us despite the unresolved status of the dispute and the Agreement. Any future material interruption of the business arrangement with Gree under the Agreement could temporarily affect certain of our subsidiaries and may have an adverse impact on our consolidated financial results. For the 12-month period ended March 31, 2026, less than 3% of our consolidated revenues were from the sale of Gree-branded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Self-insurance reserves are maintained relative to company-wide casualty insurance and health benefit programs. The level of exposure from catastrophic events is limited by the purchase of stop-loss and aggregate liability reinsurance coverage. When estimating the self-insurance liabilities and related reserves, management considers several factors, which include historical claims experience, demographic factors, severity factors, and valuations provided by independent third-party actuaries. Management reviews its assumptions with its independent third-party actuaries to evaluate whether the self-insurance reserves are adequate. If actual claims or adverse development of loss reserves occur and exceed these estimates, additional reserves may be required. Reserves in the amounts of $5,976 and $4,871 at March 31, 2026 and December 31, 2025, respectively, were established related to such programs and are included in accrued expenses and other current liabilities in our condensed consolidated unaudited balance sheets.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Purchases from Carrier and its affiliates comprised 63% and 65% of all inventory purchases made during the quarters ended March 31, 2026 and 2025, respectively. At March 31, 2026 and December 31, 2025, approximately $145,000 and $115,000, respectively, was payable to Carrier and its affiliates, net of receivables. We also sell HVAC products to Carrier and its affiliates. Revenues in our condensed consolidated unaudited statements of income for the quarters ended March 31, 2026 and 2025 included approximately $15,000 and $19,000, respectively, of sales to Carrier and its affiliates. We believe these transactions are conducted on terms equivalent to an arm’s-length basis in the ordinary course of business.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member of our Board of Directors is a Senior Chairman of Greenberg Traurig, P.A., which serves as our principal outside counsel for compliance and acquisition-related legal services. During the quarters ended March 31, 2026 and 2025, fees for services performed were $15 and $22, respectively, and $29 and $19 was payable at March 31, 2026 and December 31,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one operating and reporting segment: HVAC/R distribution. This sole line of business focuses exclusively on the distribution of air conditioning, heating, and refrigeration equipment and related parts and supplies. Our single reportable segment entity is managed on a consolidated basis, with the CEO serving as the chief operating decision maker (“CODM”). On a monthly basis, the CODM reviews financial information presented on a consolidated basis, as reported in the consolidated statements of income, and uses consolidated operating income and net income to assess performance and allocate resources. The CODM does not receive information that is disaggregated or presented outside of the consolidated statement of income.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expenses within operating income and net income include cost of sales and selling, general and administrative expenses, which are each separately presented in the consolidated statements of income. Other segment items within net income include interest and income taxes.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primarily within the United States, including Puerto Rico, Canada, and Mexico. Products are also sold from the United States on an export-only basis to portions of Latin America and the Caribbean Basin. See Note 2 for revenues disaggregated by geographical regions and major product line.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23, 2026, we entered into an asset purchase agreement (the “Purchase Agreement”) together with Jackson Supply Company, a Texas corporation (“Jackson”), our wholly owned subsidiary, Jackson Supply LLC (“Buyer”), and the other parties thereto, pursuant to which Buyer has agreed to purchase the assets, and assume certain of the liabilities, comprising the HVAC distribution business of Jackson (the “Business”). Jackson is an HVAC distributor, with annual sales of approximately $230,000. Jackson was founded in 1972 and serves approximately 5,000 customers from 25 locations across Sunbelt markets in Texas, Louisiana, Tennessee, Alabama, Mississippi, Oklahoma, and Arizona.</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upon consummation of the contemplated transaction (the “Closing”), we have agreed to issue to Jackson a number of shares of Common stock equal to $198,000, net of the Business’ debt and transaction expenses, divided by the daily volume-weighted average price of the Common stock on the New York Stock Exchange for the 10 most recent trading days immediately preceding the Closing, of which $25,000 of such shares will be held in escrow for a period of up to 12 months following the Closing in connection with customary purchase price adjustments and indemnification obligations of Jackson. We currently expect Closing to occur in the second quarter of 2026, subject to the satisfaction or waiver of customary closing conditions, including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or incorporates by reference statements that are not historical in nature and that are intended to be, and are hereby identified as, “forward-looking statements” as defined in the Private Securities Litigation Reform Act of 1995. Statements which are not historical in nature, including the words “anticipate,” “estimate,” “could,” “should,” “may,” “plan,” “seek,” “expect,” “believe,” “intend,” “target,” “will,” “project,” “focused,” “outlook,” “goal,” “designed,” and variations of these words and negatives thereof and similar expressions are intended to identify forward-looking statements, including statements regarding, among other things, (i) economic conditions, (ii) business and acquisition strategies, (iii) potential acquisitions and/or joint ventures and investments in unconsolidated entities, (iv) financing plans, and (v) industry, demographic, regulatory,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w:t>
      </w:r>
    </w:p>
    <w:p>
      <w:pPr>
        <w:spacing w:after="0" w:line="84" w:lineRule="exact"/>
        <w:rPr>
          <w:sz w:val="20"/>
          <w:szCs w:val="20"/>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the United States and in the international markets we serve;</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within the HVAC/R industry;</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supplier concentration, including conditions that impact the supply chain;</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policies and tariffs;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certain commodity costs;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housing starts and completions;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in the commercial construction market;</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liquidity needed for operations;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product sales;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patterns and conditions;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risks;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regulations impacting our industry and products;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inflation;</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risk, including related to changes in trade policies and tariffs;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and</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viability of our business strategy.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Item 1A “Risk Factors” of our Annual Report on Form 10-K for the year ended December 31, 2025, as well as the other documents and reports that we file with the SEC. Forward-looking statements speak only as of the date the statements were made. We assume 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unaudited financial statements, including the notes thereto, included under Part I, Item 1 of this Quarterly Report on Form 10-Q. In addition, reference should be made to our audited consolidated financial statements and notes thereto, and related Management’s Discussion and Analysis of Financial Condition and Results of Operations included in our Annual Report on Form 10-K for the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Watsco, Inc. was incorporated in Florida in 1956, and, together with its subsidiaries (collectively, “Watsco,” the “Company,” or “we,” “us,” or “our”) is the largest distributor of air conditioning, heating, and refrigeration equipment, and related parts and supplies (“HVAC/R”) in the HVAC/R distribution industry in North America. At March 31, 2026, we operated from 693 locations in 43 U.S. States, Canada, Mexico, and Puerto Rico with additional market coverage on an export basis to portions of Latin America and the Caribbean.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primarily consist of sales of air conditioning, heating, and refrigeration equipment, and related parts and supplies. Selling, general and administrative expenses primarily consist of selling expenses, the largest components of which are salaries, commissions, and marketing expenses that are variable and correlate to changes in sales. Other significant selling, general and administrative expenses relate to the operation of warehouse and distribution facilities, including a fleet of trucks and forklifts, and facility rent, a majority of which we operate under non-cancelable operating leases.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the new construction sectors throughout most of the markets we serve tends to be fairly evenly distributed throughout the year and depends largely on housing completions and related weather and economic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monitor macroeconomic conditions and recent U.S. trade policy announcements, which have implications for the various OEMs and vendors that comprise our supply chain. Many HVAC equipment and component manufacturers, including Carrier Global Corporation (“Carrier”) and Rheem Manufacturing Company, source component parts from China and Mexico or assemble significant portions of residential and light-commercial products in Mexico, exposing them to tariff and inflationary pressures. In February 2026, the U.S. Supreme Court issued a decision invalidating the broad-based tariffs imposed under the International Emergency Economic Powers Act, providing potential relief from the certain tariff pressures. However, significant uncertainty exists regarding the timing, amount, and scope of any potential tariff refunds following the Supreme Court decision, as well as the possibility of alternative trade policy measures. Additionally, on April 6, 2026, the Section 232 steel and aluminum tariffs were adjusted under a new rule that will change how tariffs are calculated on imported copper, steel, and aluminum products. Under the new rule, tariff rates on most imported copper, steel, and aluminum products will now be calculated on the full value of the imported products, which in some cases will increase the amount of tariff due by the OEMs.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our OEM partners and suppliers have announced or implemented various pricing actions that increase the price of the products we procure. To mitigate these effects, we have taken pricing actions, leveraging our technology platforms to efficiently adapt to changing conditions. While the long-term impact of tariffs remains uncertain, we believe that our focus on the HVAC replacement market remains a stabilizing factor, given the essential role of these products in providing comfort and healthy environments for homeowners and businesses. However, if additional restrictions, amendments to existing trade agreements, such as the United States-Mexico-Canada Agreement, or further tariff increases on goods sourced from or assembled in Mexico and China, significantly raise our product costs, then we may need to increase our prices further, which could lead to reduced sales, customer loss, and potential harm to our business. We will continue to actively monitor these developments and their implications for our supply chain costs and pricing strategy.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Reductions in CO</w:t>
      </w:r>
      <w:r>
        <w:rPr>
          <w:rFonts w:ascii="Times New Roman" w:cs="Times New Roman" w:eastAsia="Times New Roman" w:hAnsi="Times New Roman"/>
          <w:sz w:val="24"/>
          <w:szCs w:val="24"/>
          <w:b w:val="1"/>
          <w:bCs w:val="1"/>
          <w:color w:val="auto"/>
          <w:vertAlign w:val="subscript"/>
        </w:rPr>
        <w:t>2</w:t>
      </w:r>
      <w:r>
        <w:rPr>
          <w:rFonts w:ascii="Times New Roman" w:cs="Times New Roman" w:eastAsia="Times New Roman" w:hAnsi="Times New Roman"/>
          <w:sz w:val="18"/>
          <w:szCs w:val="18"/>
          <w:b w:val="1"/>
          <w:bCs w:val="1"/>
          <w:color w:val="auto"/>
        </w:rPr>
        <w:t>e Emissions</w:t>
      </w:r>
    </w:p>
    <w:p>
      <w:pPr>
        <w:spacing w:after="0" w:line="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our business plays an important and significant role in the drive to lower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e emissions. According to the U.S. Department of Energy (“DOE”), heating and air conditioning accounts for roughly half of household energy consumption in the U.S. As such, replacing older, less efficient HVAC systems with higher efficiency systems is one of the most meaningful steps homeowners can take to reduce their electricity costs and carbon footprints.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overwhelming majority of new HVAC systems that we sell replace systems that likely operate below current minimum efficiency standards in the U.S. and may use more harmful refrigerants that have been, or are being, phased-out. As consumers replace HVAC systems with new, higher-efficiency systems, homeowners will consume less energy, save costs, and reduce their carbon footprints.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of high-efficiency systems has long been a focus of ours, and we have invested in tools and technology intended to capture an increasingly richer sales mix over time. In addition, regulatory mandates will likely periodically increase the required minimum Seasonal Energy Efficiency Ratio rating, referred to as SEER, thus providing a catalyst for increased sales of higher-efficiency systems. The Company expects these regulations to reduce the carbon footprint of end-users and increase average selling prices over time, subject to customary risks of quality, availability, and performance of new HVAC systems.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American Innovation and Manufacturing Act of 2020 granted the U.S. Environmental Protection Agency (the “EPA”) the authority to regulate hydrofluorocarbon (“HFC”) refrigerants. Although HFCs were introduced as alternatives to ozone-depleting substances like chlorofluorocarbons and hydrochlorofluorocarbons, they are now recognized greenhouse gases that impact climate change due to their high global warming potential (“GWP”). Consequently, a required 85% phasedown of HFC production and consumption over a 15-year period commenced on January 1, 2022 (40% of which was completed in 2024). Further regulations were implemented that (1) restricted the use of high-GWP refrigerants in new HVAC systems (the “410A Systems”) manufactured after December 31, 2024 and (2) established a timeline over which the sales and installation of 410A Systems by distributors and contractors were permitted. Beginning in late 2024, the Company, in collaboration with its OEMs and in anticipation of the change, began to transition its inventory to the new lower-GWP HVAC systems (the “A2L Systems”) and phase-out the 410A Systems. The regulations permitted the sale and installation of matching 410A HVAC Systems (i.e., outdoor and indoor components that are installed together) through December 31, 2025, after which the outdoor and indoor components may be separately sold and installed thereafter without limitation or expiration. On October 3, 2025, the EPA proposed changes to this regulation that would eliminate or extend the December 31, 2025 installation deadline of matching 410A Systems beyond that date, thus allowing the continued sale of such matching systems. As of the date of this filing, a final rule has not been issued. On December 23, 2025, the EPA issued an enforcement statement deprioritizing enforcement of the installation ban for affected 410A Systems that became effective on January 1, 2026. The Company continues to sell components of 410A Systems separately as permitted under the regulations and will assess its ability of offering matching 410A Systems once the EPA finalizes the rule change, which is expected in 2026.</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offer a broad variety of systems that operate above the minimum SEER standards, ranging from base-level efficiency to systems that exceed 20 SEER. Based on estimates validated by independent sources, we averted an estimated 26.9 million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e emissions from January 1, 2020 to March 31, 2026 through the sale of replacement residential HVAC systems at higher-efficiency standards.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2009, we have been a party to an agreement (the “Agreement”) with Gree Electric Appliances, Inc. of Zhuhai, China (“Gree”) that, among other things, provides us with exclusive distribution rights for certain Gree-branded products in the United States. A dispute has arisen between Gree and Watsco as to whether the automatic renewal provisions of the Agreement extended the term of the Agreement for an additional 10 years before the prior term was to end in January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2026, Gree filed a complaint for declaratory judgment in Florida’s Circuit Court for Miami-Dade County, seeking a judicial determination that the Agreement did not renew for a successive term and has in fact been terminated. In April 2026, we filed our answer and affirmative defenses to Gree’s complaint, and we interposed counterclaims against Gree to enforce our rights under the Agreement, including seeking a judicial determination that the Agreement renewed for an additional 10-year period and remains in full force and effect, and an award for any damages resulting from Gree’s improper purported termination or non-renewal of the Agreement and Gree’s other related acts. We intend to vigorously prosecute our counterclaims and affirm our position that the Agreement automatically renewed for an additional 10-year period, and to vigorously defend against Gree’s assertion that the Agreement was not renewed.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purchase Gree-branded products from Gree, and Gree has continued to sell products to us despite the unresolved status of the dispute and the Agreement. Any future material interruption of the business arrangement with Gree under the Agreement could temporarily affect certain of our subsidiaries and may have an adverse impact on our consolidated financial results. For the 12-month period ended March 31, 2026, less than 3% of our consolidated revenues were from the sale of Gree-branded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the condensed consolidated unaudited financial statements included in this Quarterly Report on Form 10-Q, which have been prepared in accordance with U.S. Generally Accepted Accounting Principles. The preparation of these condensed consolidated unaudited financial statements requires management to make estimates and assumptions that affect the reported amounts of assets and liabilities, disclosure of contingent assets and liabilities at the date of the condensed consolidated unaudited financial statements, and the reported amount of revenues and expenses during the reporting period. Actual results may differ from these estimates under different assumptions or conditions. At least quarterly, management reevaluates its judgments and estimates, which are based on historical experience, current trends, and various other assumptions that are believed to be reasonable under the circumstances.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included in our Annual Report on Form 10-K for the year ended December 31, 2025, as filed with the SEC on February 27, 2026. We believe that there have been no significant changes during the quarter ended March 31, 2026 to the critical accounting estimates disclosed in our Annual Report on Form 10-K for the year ended December 31, 2025.</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Refer to Note 1 to our condensed consolidated unaudited financial statements included in this Quarterly Report on Form 10-Q for a discussion of recently adopted, and to be adopted, accounting standards.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derived from our condensed consolidated unaudited statements of income, expressed as a percentage of revenues, for the quarters ended March 31, 2026 and 2025:</w:t>
      </w:r>
    </w:p>
    <w:p>
      <w:pPr>
        <w:spacing w:after="0" w:line="1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3"/>
          <w:szCs w:val="13"/>
          <w:b w:val="1"/>
          <w:bCs w:val="1"/>
          <w:color w:val="auto"/>
        </w:rPr>
        <w:t>Quarters Ended</w:t>
      </w:r>
    </w:p>
    <w:p>
      <w:pPr>
        <w:spacing w:after="0" w:line="1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3"/>
          <w:szCs w:val="13"/>
          <w:b w:val="1"/>
          <w:bCs w:val="1"/>
          <w:color w:val="auto"/>
        </w:rPr>
        <w:t>March 31,</w:t>
      </w:r>
    </w:p>
    <w:tbl>
      <w:tblPr>
        <w:tblLayout w:type="fixed"/>
        <w:tblInd w:w="660" w:type="dxa"/>
        <w:tblCellMar>
          <w:top w:w="0" w:type="dxa"/>
          <w:left w:w="0" w:type="dxa"/>
          <w:bottom w:w="0" w:type="dxa"/>
          <w:right w:w="0" w:type="dxa"/>
        </w:tblCellMar>
      </w:tblPr>
      <w:tr>
        <w:trPr>
          <w:trHeight w:val="142"/>
        </w:trPr>
        <w:tc>
          <w:tcPr>
            <w:tcW w:w="64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2"/>
                <w:szCs w:val="12"/>
                <w:color w:val="auto"/>
              </w:rPr>
            </w:pPr>
          </w:p>
        </w:tc>
      </w:tr>
      <w:tr>
        <w:trPr>
          <w:trHeight w:val="209"/>
        </w:trPr>
        <w:tc>
          <w:tcPr>
            <w:tcW w:w="7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tcPr>
          <w:p>
            <w:pPr>
              <w:spacing w:after="0"/>
              <w:rPr>
                <w:sz w:val="18"/>
                <w:szCs w:val="18"/>
                <w:color w:val="auto"/>
              </w:rPr>
            </w:pPr>
          </w:p>
        </w:tc>
      </w:tr>
      <w:tr>
        <w:trPr>
          <w:trHeight w:val="210"/>
        </w:trPr>
        <w:tc>
          <w:tcPr>
            <w:tcW w:w="7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FF0FC"/>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Watsco, Inc.</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5410835</wp:posOffset>
            </wp:positionH>
            <wp:positionV relativeFrom="paragraph">
              <wp:posOffset>-1019175</wp:posOffset>
            </wp:positionV>
            <wp:extent cx="1289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-1019175</wp:posOffset>
            </wp:positionV>
            <wp:extent cx="111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-736600</wp:posOffset>
            </wp:positionV>
            <wp:extent cx="1289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-736600</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-453390</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-453390</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-170815</wp:posOffset>
            </wp:positionV>
            <wp:extent cx="128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-170815</wp:posOffset>
            </wp:positionV>
            <wp:extent cx="111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Due to rounding, percentages may not total 100.</w:t>
      </w:r>
    </w:p>
    <w:p>
      <w:pPr>
        <w:spacing w:after="0" w:line="185"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The following narratives reflect our acquisitions of Southern Ice Equipment Distributors, Inc. (“SIE”) in May 2025, Hawkins HVAC Distributors, Inc. (“Hawkins”) in April 2025, and W.L. Lashley &amp; Associates, Inc. (“Lashley”) in January 2025. We did not acquire any businesses during the quarter ended March 31, 2026.</w:t>
      </w:r>
    </w:p>
    <w:p>
      <w:pPr>
        <w:spacing w:after="0" w:line="149"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In the following narratives, computations and other information referring to “same-store basis” exclude the effects of locations closed, acquired, or opened, in each case during the immediately preceding 12 months, unless such locations are within close geographical proximity to existing locations. At both March 31, 2026 and 2025, two locations that we opened during the immediately preceding 12 months were near existing locations and were therefore included in “same-store basis” information.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changes in our locations for the 12 months ended March 31,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Locations</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Opened</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w:t>
            </w:r>
          </w:p>
        </w:tc>
        <w:tc>
          <w:tcPr>
            <w:tcW w:w="1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9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66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300" w:type="dxa"/>
            <w:vAlign w:val="bottom"/>
            <w:vMerge w:val="restart"/>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center"/>
              <w:ind w:left="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700" w:type="dxa"/>
            <w:vAlign w:val="bottom"/>
            <w:tcBorders>
              <w:top w:val="single" w:sz="8" w:color="auto"/>
            </w:tcBorders>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5"/>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1,533.0</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467"/>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of 27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-1687830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-1671320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The increase in revenues for the first quarter of 2026 included $8.6 million attributable to new locations acquired and $0.9 million from other locations opened during the preceding 12 months, offset by $4.2 million from locations closed.</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3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5"/>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Same-store sales</w:t>
            </w:r>
          </w:p>
        </w:tc>
        <w:tc>
          <w:tcPr>
            <w:tcW w:w="2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1,523.4</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for the first quarter of 2026, as a percentage of sales, by major product lines and the related percentage change in revenues from the prior period: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center"/>
              <w:ind w:right="53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800" w:type="dxa"/>
            <w:vAlign w:val="bottom"/>
          </w:tcPr>
          <w:p>
            <w:pPr>
              <w:spacing w:after="0"/>
              <w:rPr>
                <w:sz w:val="14"/>
                <w:szCs w:val="14"/>
                <w:color w:val="auto"/>
              </w:rPr>
            </w:pPr>
          </w:p>
        </w:tc>
        <w:tc>
          <w:tcPr>
            <w:tcW w:w="2600" w:type="dxa"/>
            <w:vAlign w:val="bottom"/>
            <w:tcBorders>
              <w:bottom w:val="single" w:sz="8" w:color="auto"/>
            </w:tcBorders>
            <w:gridSpan w:val="4"/>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HVAC equipment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w:t>
            </w: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HVAC products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refrigeration products</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660"/>
        <w:spacing w:after="0" w:line="254" w:lineRule="auto"/>
        <w:rPr>
          <w:sz w:val="20"/>
          <w:szCs w:val="20"/>
          <w:color w:val="auto"/>
        </w:rPr>
      </w:pPr>
      <w:r>
        <w:rPr>
          <w:rFonts w:ascii="Times New Roman" w:cs="Times New Roman" w:eastAsia="Times New Roman" w:hAnsi="Times New Roman"/>
          <w:sz w:val="18"/>
          <w:szCs w:val="18"/>
          <w:color w:val="auto"/>
        </w:rPr>
        <w:t>HVAC equipment sales comprise various products including, but not limited to, residential ducted and ductless systems, furnaces, and other indoor components, as well as commercial HVAC systems. Within HVAC equipment, sales of residential products declined 2% (reflecting a 1% increase in U.S. markets and a 30% decrease in international markets) and sales of commercial products were flat (reflecting a 2% decrease in U.S. markets and a 7% increase in international markets). The largest component of residential sales are ducted compressor-bearing systems produced by a variety of OEMs. Sales of ducted residential compressor-bearing systems decreased 1% during the first quarter of 2026, reflecting an 8% decrease in unit volume and a 7% increase in average selling price. The lower unit volumes primarily resulted from lingering disruption from last year's A2L product transition, lower home building activity, and reduced consumer spending for replacement systems and upgrades.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2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92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   (2.0)</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margin declined 20 basis-points primarily due to the sales mix of HVAC equipment in 2026 as compared to 2025.</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4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74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322.9</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percentage of revenues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 same-store basis, selling, general and administrative expenses were flat as compared to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117"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Other income of $5.5 million and $5.1 million for the first quarter of 2026 and 2025, respectively, represented our share of the net income of Russell Sigler, Inc. (“RSI”), in which Carrier Enterprise I has a 38.4% equity interest. Carrier Enterprise I is one of our joint ventures with Carrier, in which we have an 80% controlling interest.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Interest Income, Net</w:t>
      </w:r>
    </w:p>
    <w:p>
      <w:pPr>
        <w:spacing w:after="0" w:line="117"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Interest income, net for the first quarter of 2026 increased $1.0 million, or 19%, primarily due to higher cash and short-term cash investment balances on hand for the 2026 period as compared to the same period in 2025.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Quarters Ended March 31,</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b w:val="1"/>
                <w:bCs w:val="1"/>
                <w:color w:val="auto"/>
                <w:w w:val="95"/>
              </w:rPr>
              <w:t>23.7</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23.1</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of</w:t>
            </w:r>
          </w:p>
        </w:tc>
        <w:tc>
          <w:tcPr>
            <w:tcW w:w="12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99"/>
              </w:rPr>
              <w:t>27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represent a composite of the income taxes attributable to our wholly owned operations and income taxes attributable to our joint ventures with Carrier, which are primarily taxed as partnerships for income tax purposes; therefore, Carrier is responsible for its proportionate share of income taxes attributable to its share of earnings from these joint ventures. The increase in the effective income tax rate was primarily due to lower share-based compensation deductions and lower tax credits, including purchased tax credits, combined with lower earnings in 2026 as compared to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Watsco, Inc.</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Watsco, Inc. for the quarter ended March 31, 2026 decreased $1.0 million, or 1%, compared to the same period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execute our business strategy and fund operating and investing activities, taking into consideration the seasonal demand for HVAC/R products, which peaks in the months of May through August. Significant factors that could affect our liquidity include the following:</w:t>
      </w:r>
    </w:p>
    <w:p>
      <w:pPr>
        <w:spacing w:after="0" w:line="68" w:lineRule="exact"/>
        <w:rPr>
          <w:sz w:val="20"/>
          <w:szCs w:val="20"/>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needed to fund our business (primarily working capital requirements);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capacity under our revolving credit facility;</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sales of Common stock under our at-the-market offering program;</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long-term capital with satisfactory terms;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joint ventures and investments in unconsolidated entities;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Common and Class B common stock (collectively “common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Sources and Uses of Cash</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cash flows from operations and borrowing capacity under our revolving credit agreement to fund seasonal working capital needs and for other general corporate purposes in the short-term and the long-term, including dividend payments (if and as declared by our Board of Directors), capital expenditures, business acquisitions, and development of our long-term operating and technology strategies. Additionally, we may also generate cash through the issuance and sale of our Common stock.</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our operating cash flows, cash on hand, short-term cash investments, available borrowings under our revolving credit agreement, and funds available from sales of our Common stock under our 2024 ATM Program, each of which is described below, will be sufficient to meet our liquidity needs for the foreseeable future. However, there can be no assurance that our current sources of available funds will be sufficient to meet our cash requirements.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$392.7 million of cash and cash equivalents, of which $119.7 million was held by foreign subsidiaries. The repatriation of cash balances from our foreign subsidiaries could have adverse tax impacts or be subject to capital controls; however, these balances are generally available to fund the ordinary business operations of our foreign subsidiaries without legal restrictions. We also had $200.0 million of short-term cash investments as of March 31, 2026 consisting of certificates of deposit with varying maturities through September 2026.</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access to funds under our revolving credit agreement depends on the ability of the syndicate banks to meet their respective funding commitments. Disruptions in the credit and capital markets could adversely affect our ability to draw on our revolving credit agreement and may also adversely affect the determination of interest rates, particularly rates based on the Secured Overnight Financing Rate, which is one of the base rates under our revolving credit agreement. Additionally, disruptions in the credit and capital markets could also result in increased borrowing costs or reduced borrowing capacity under our revolving credit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decreased to $2,229.3 million at March 31, 2026 from $2,236.8 million at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quarters ended March 31, 2026 and 2025 (in millions):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individual items contributing to cash flow changes for the periods presented are detailed in the condensed consolidated unaudited statements of cash flows contained in this Quarterly Report on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lower primarily due to the timing of vendor payments and an increase in accounts receivable in 2026 as compared to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decreased primarily due to lower net proceeds from certificates of deposit that matured in 2026 as compared to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primarily due to the timing of distributions to the non-controlling interest offset by increased dividends in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Agreement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an unsecured, five-year $600.0 million syndicated multicurrency revolving credit agreement, which may be used for, among other things, funding seasonal working capital needs and for other general corporate purposes, including acquisitions, dividends (if and as declared by our Board of Directors), capital expenditures, stock repurchases, and issuances of letters of credit. The revolving credit facility has a seasonal component from October 1 to March 31, during which the borrowing capacity may be reduced to $500.0 million at our discretion (which effectively reduces fees payable in respect of the unused portion of the commitment), and we effected this reduction on October 1, 2025. Included in the revolving credit facility are a $125.0 million swing line loan sublimit, a $10.0 million letter of credit sublimit, a $75.0 million alternative currency borrowing sublimit, and a $10.0 million Mexican borrowing subfacility. The revolving credit agreement matures on March 16, 2028.</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there was no outstanding balance under the revolving credit agreement. The revolving credit agreement contains customary affirmative and negative covenants, including financial covenants with respect to consolidated leverage and interest coverage ratios, and other customary restrictions. We believe we were in compliance with all covenants at March 31,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 Program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02529"/>
        </w:rPr>
        <w:t xml:space="preserve">On May 3, 2024, we entered into an amended and restated sales agreement with </w:t>
      </w:r>
      <w:r>
        <w:rPr>
          <w:rFonts w:ascii="Times New Roman" w:cs="Times New Roman" w:eastAsia="Times New Roman" w:hAnsi="Times New Roman"/>
          <w:sz w:val="18"/>
          <w:szCs w:val="18"/>
          <w:color w:val="000000"/>
        </w:rPr>
        <w:t>Robert W. Baird &amp; Co. Inc.</w:t>
      </w:r>
      <w:r>
        <w:rPr>
          <w:rFonts w:ascii="Times New Roman" w:cs="Times New Roman" w:eastAsia="Times New Roman" w:hAnsi="Times New Roman"/>
          <w:sz w:val="18"/>
          <w:szCs w:val="18"/>
          <w:color w:val="202529"/>
        </w:rPr>
        <w:t xml:space="preserve"> (the “2024 ATM Program”), which enables the issuance and sale of Common stock for a maximum aggregate offering amount of up to $400.0 million. At March 31, 2026, $400.0 million was available for sale under the 2024 ATM Program. The offer and sale of shares under the 2024 ATM Program have been registered under the Securities Act pursuant to our automatically effective </w:t>
      </w:r>
      <w:r>
        <w:rPr>
          <w:rFonts w:ascii="Times New Roman" w:cs="Times New Roman" w:eastAsia="Times New Roman" w:hAnsi="Times New Roman"/>
          <w:sz w:val="18"/>
          <w:szCs w:val="18"/>
          <w:color w:val="000000"/>
        </w:rPr>
        <w:t>shelf</w:t>
      </w:r>
      <w:r>
        <w:rPr>
          <w:rFonts w:ascii="Times New Roman" w:cs="Times New Roman" w:eastAsia="Times New Roman" w:hAnsi="Times New Roman"/>
          <w:sz w:val="18"/>
          <w:szCs w:val="18"/>
          <w:color w:val="202529"/>
        </w:rPr>
        <w:t xml:space="preserve"> registration statement on Form S-3 (File No. 333-282975).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in Unconsolidated Entity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Carrier Enterprise I has a 38.4% ownership interest in RSI, an HVAC distributor operating from 36 locations in the Western U.S. Our proportionate share of the net income of RSI is included in other income in our condensed consolidated unaudited statements of income.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Carrier Enterprise I is a party to a shareholders’ agreement with RSI and its shareholders (the “RSI Shareholders’Agreement”), consisting of five Sigler second generation family siblings and their affiliates, who collectively own 55.4% of RSI (the “RSI Majority Holders”) and certain next-generation Sigler family members and a RSI employee, who collectively own 6.2% of RSI (the “RSI Minority Holders” and, together with the RSI Majority Holders, the “RSI Shareholders”). Pursuant to the RSI Shareholders’ Agreement, the RSI Shareholders have the right to sell, and Carrier Enterprise I has the obligation to purchase, their respective shares of RSI for a purchase price determined based on the higher of book value or a multiple of EBIT, the latter of which Carrier Enterprise I used to calculate the price for its 38.4% investment held in RSI. The RSI Shareholders may transfer their respective shares of RSI common stock only to members of the Sigler family or to Carrier Enterprise I, and, at any time from and after the date on which Carrier Enterprise I owns 85% or more of RSI’s outstanding common stock, it has the right, but not the obligation, to purchase from the RSI Shareholders the remaining outstanding shares of RSI common stock. At March 31, 2026, using the criteria set forth in the RSI Shareholders’ Agreement, the valuation of the RSI Shareholders’ RSI common stock was approximately $469.0 million.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28, 2023, Watsco, Carrier Enterprise I, and the RSI Majority Holders entered into an agreement that (1) provides Carrier Enterprise I the discretion, but not the obligation, to fund up to 80% of any purchase from the RSI Majority Holders of their RSI common stock, as required under the RSI Shareholders’ Agreement, using Watsco Common stock (the “Offered Shares”), (2) provides that any Offered Shares actually issued would be valued based on the average volume-weighted average price of Watsco’s Common stock for the 10 trading days immediately preceding the payment date for the applicable RSI shares, and (3) limits the amount of RSI shares that may be collectively sold by the RSI Majority Holders to Carrier Enterprise I under the RSI Shareholders’ Agreement to $125.0 million during any rolling 12-month period. We have not issued or sold any Offered Shares, and there is no assurance that we will issue and sell any Offered Shares, nor is the number of Offered Shares that may be issued and sold currently determinable.</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operating cash flows, cash on hand, short-term cash investments, funds available for borrowing under our revolving credit agreement, or proceeds from the sale of Common stock under the 2024 ATM Program would be sufficient should the purchase of any additional ownership interests in RSI be made in cash pursuant to the agreement described in the preceding paragraph.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Jackson Supply Company, Inc.</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23, 2026, we entered into an agreement to purchase the assets, and assume certain of the liabilities, comprising the HVAC distribution business of Jackson Supply Company (“Jackson”), an HVAC distributor, with annual sales of approximately $230.0</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million. Jackson was founded in 1972 and serves approximately 5,000 customers from 25 locations across Sunbelt markets in Texas, Louisiana, Tennessee, Alabama, Mississippi, Oklahoma, and Arizona. The transaction is expected to close in the second quarter pending completion of customary closing conditions and regulatory approvals. For additional information, see Note 12 to the unaudited condensed consolidated financial statements contained in this Quarterly Report on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Ice Equipment Distributors,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2025, one of our wholly owned subsidiaries acquired SIE, a distributor of food service and ice machine equipment, parts and supplies, operating from seven locations in Arizona, Arkansas, Louisiana, Mississippi, New Mexico, and Texas. Consideration for the purchase consisted of $14.2 million in cash, net of cash acquired of $0.7 million, and 7,400 shares of Common stock having a fair value of $3.1 million net of a discount for lack of marketability.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HVAC Distributors, Inc.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2025, one of our wholly owned subsidiaries acquired Hawkins, a distributor of residential HVAC equipment and supplies, operating from two locations in North Carolina and South Carolina. Consideration for the purchase consisted of $2.5 million in cash, net of cash acquired of $0.4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W.L. Lashley &amp; Associates,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Carrier Enterprise I acquired Lashley, a distributor of commercial HVAC supplies, operating from one location in Houston, Texas. Consideration for the purchase consisted of $3.7 million in cash, 1,036 shares of Common stock having a fair value of $0.5 million, and $0.8 million for repayment of indebtedness, net of cash acquired of $0.8 million. Carrier contributed $1.0 million cash to Carrier Enterprise I in connection with the acquisition of Lashley.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evaluate potential acquisitions and/or joint ventures and investments in unconsolidated entities. We routinely hold discussions with several acquisition candidates. Should suitable acquisition opportunities arise that would require additional financing, we believe our financial position and earnings history provide a sufficient basis for us to either obtain additional debt financing at competitive rates and on reasonable terms or raise capital through the issuance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Dividends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paid cash dividends of $3.00 and $2.70 per share on common stock during the three months ended March 31, 2026 and 2025, respectively. On April 1, 2026, our Board of Directors declared a regular quarterly cash dividend of $3.30 per share on common stock that was paid on April 30, 2026 to shareholders of record as of April 16, 2026. Future dividends and/or changes in dividend rates are at the sole discretion of the Board of Directors and depend upon factors including, but not limited to, cash flow generated by operations, profitability, financial condition, cash requirements, prospects, and other factors deemed relevant by our Board of Directors.</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Reinvestment Plan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implemented the Watsco, Inc. Dividend Reinvestment Plan (the “DRIP”), under which existing shareholders may, in accordance with the DRIP, acquire up to an aggregate of 300,000 shares of each of Common and Class B common stock, as applicable, by reinvesting all or a portion of the cash dividends paid on such shareholders’ shares of common stock. The DRIP has been registered under the Securities Act pursuant to our automatically effective shelf registration statement on Form S-3 (File No. 333-282975). During the quarters ended March 31, 2026 and 2025, 9,890 and 13,942 shares of our common stock, respectively, were issued under the DRIP.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Share Repurchase Program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1999, our Board of Directors authorized the repurchase, at management’s discretion, of up to 7,500,000 shares of common stock in the open market or via private transactions. Shares repurchased under the program are accounted for using the cost method and result in a reduction of shareholders’ equity. We last repurchased shares under this plan in 2008. In aggregate, 6,370,913 shares of common stock have been repurchased at a cost of $114.4 million since the inception of the program. At March 31, 2026, there were 1,129,087 shares remaining authorized for repurchase under the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regarding market risk provided in Item 7A, Quantitative and Qualitative Disclosures about Market Risk, of our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under the Securities Exchange Act of 1934, as amended (the “Exchange Act”)) that are, among other things, designed to ensure that information required to be disclosed by us under the Exchange Act is accumulated and communicated to management, including our Chief Executive Officer (“CEO”), Executive Vice President (“EVP”), and Chief Financial Officer (“CFO”), to allow for timely decisions regarding required disclosure and appropriate SEC filings.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EVP, and CFO, evaluated the effectiveness of our disclosure controls and procedures as of the end of the period covered by this report, and, based on that evaluation, our CEO, EVP, and CFO concluded that our disclosure controls and procedures were effective, at a reasonable assurance level, at and as of such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 over financial reporting. This results in refinements to processes throughout the Company. However, there were no changes in our internal control over financial reporting (as such term is defined in Rules 13a-15(f) and 15d-15(f) under the Exchange Act) during the quarter ended March 31, 2026, that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9 to our condensed consolidated unaudited financial statements contained in this Quarterly Report on Form 10-Q under the caption “Litigation, Claims, and Assessments,” which information is incorporated by reference in this Item 1 of Part II of this Quarterly Report on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risk factors for the quarter ended March 31, 2026 does not differ materially from that set forth in Part I, Item 1A of our Annual Report on Form 10-K for the year ended December 31, 2025.</w:t>
      </w:r>
    </w:p>
    <w:p>
      <w:pPr>
        <w:spacing w:after="0" w:line="117" w:lineRule="exact"/>
        <w:rPr>
          <w:sz w:val="20"/>
          <w:szCs w:val="20"/>
          <w:color w:val="auto"/>
        </w:rPr>
      </w:pPr>
    </w:p>
    <w:p>
      <w:pPr>
        <w:ind w:right="2620"/>
        <w:spacing w:after="0" w:line="34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11, 2026, we issued 27,503 shares of our Common stock to our Profit Sharing Retirement Plan &amp; Trust (the “Profit Sharing Plan”) representing the employer match under the Profit Sharing Plan for the plan year ended December 31, 2025, without registration under the Securities Act. This issuance was exempt from registration under the Securities Act pursuant to Section 3(a)(2) thereof. The Profit Sharing Plan is a profit sharing retirement plan that is qualified under Section 401 of the Internal Revenue Code of 1986, as amended. The assets of the Profit Sharing Plan are held in a single trust fund for the benefit of our employees, and the Profit Sharing Plan does not hold assets for the benefit of the employees of any other employer. All of the contributions to the Profit Sharing Plan from our employees have been invested in assets other than our Common stock. We have contributed all of the Common stock held by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Profit Sharing Plan as a discretionary matching contribution, which, at the time of contribution, was lower in value than the employee contributions that the contribution matched.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Maximum Dollar</w:t>
            </w:r>
          </w:p>
        </w:tc>
      </w:tr>
      <w:tr>
        <w:trPr>
          <w:trHeight w:val="148"/>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that May</w:t>
            </w:r>
          </w:p>
        </w:tc>
      </w:tr>
      <w:tr>
        <w:trPr>
          <w:trHeight w:val="148"/>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Part of Publicly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Yet Be Purchased</w:t>
            </w:r>
          </w:p>
        </w:tc>
      </w:tr>
      <w:tr>
        <w:trPr>
          <w:trHeight w:val="138"/>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Price Paid</w:t>
            </w:r>
          </w:p>
        </w:tc>
        <w:tc>
          <w:tcPr>
            <w:tcW w:w="200" w:type="dxa"/>
            <w:vAlign w:val="bottom"/>
          </w:tcPr>
          <w:p>
            <w:pPr>
              <w:spacing w:after="0"/>
              <w:rPr>
                <w:sz w:val="12"/>
                <w:szCs w:val="12"/>
                <w:color w:val="auto"/>
              </w:rPr>
            </w:pPr>
          </w:p>
        </w:tc>
        <w:tc>
          <w:tcPr>
            <w:tcW w:w="1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Announced Plans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Under the Plans</w:t>
            </w:r>
          </w:p>
        </w:tc>
      </w:tr>
      <w:tr>
        <w:trPr>
          <w:trHeight w:val="175"/>
        </w:trPr>
        <w:tc>
          <w:tcPr>
            <w:tcW w:w="39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 xml:space="preserve">Purchased </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 Programs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or Programs</w:t>
            </w:r>
          </w:p>
        </w:tc>
        <w:tc>
          <w:tcPr>
            <w:tcW w:w="100" w:type="dxa"/>
            <w:vAlign w:val="bottom"/>
          </w:tcPr>
          <w:p>
            <w:pPr>
              <w:spacing w:after="0"/>
              <w:rPr>
                <w:sz w:val="15"/>
                <w:szCs w:val="15"/>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-170815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40" w:hanging="436"/>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2026, we purchased an aggregate of 1,431 shares of our Class B common stock to satisfy the tax withholding obligations in connection with the vesting of restricted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8500" w:type="dxa"/>
            <w:vAlign w:val="bottom"/>
            <w:gridSpan w:val="6"/>
          </w:tcPr>
          <w:p>
            <w:pPr>
              <w:ind w:left="27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10.1</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Twenty-seventh Amendment dated January 1, 2026 to Employment Agreement and Incentive Plan dated January 31,</w:t>
              </w:r>
            </w:hyperlink>
          </w:p>
        </w:tc>
      </w:tr>
      <w:tr>
        <w:trPr>
          <w:trHeight w:val="20"/>
        </w:trPr>
        <w:tc>
          <w:tcPr>
            <w:tcW w:w="1220" w:type="dxa"/>
            <w:vAlign w:val="bottom"/>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gridSpan w:val="6"/>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1996 by and between Watsco, Inc. and Albert H. Nahmad (filed as Exhibit 10.1(bb) to the Annual Report on Form</w:t>
              </w:r>
            </w:hyperlink>
          </w:p>
        </w:tc>
      </w:tr>
      <w:tr>
        <w:trPr>
          <w:trHeight w:val="20"/>
        </w:trPr>
        <w:tc>
          <w:tcPr>
            <w:tcW w:w="1220" w:type="dxa"/>
            <w:vAlign w:val="bottom"/>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gridSpan w:val="6"/>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 xml:space="preserve">10-K for the year ended December 31, 2025 and incorporated herein by reference). </w:t>
              </w:r>
              <w:r>
                <w:rPr>
                  <w:rFonts w:ascii="Times New Roman" w:cs="Times New Roman" w:eastAsia="Times New Roman" w:hAnsi="Times New Roman"/>
                  <w:sz w:val="18"/>
                  <w:szCs w:val="18"/>
                  <w:color w:val="000000"/>
                </w:rPr>
                <w:t>*</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412"/>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31.1</w:t>
            </w: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13a- 15(e) and 15d-15(e) as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adopted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412"/>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31.2</w:t>
            </w: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pursuant to Securities Exchange Act Rules 13a-15(e) and 15d-15(e) as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adopted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412"/>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31.3</w:t>
            </w: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13a- 15(e) and 15d-15(e) as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adopted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412"/>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32.1</w:t>
            </w: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Executive Vice President, and Chief Financial Officer pursuant to 18 U.S.C.</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Section 1350, as adopted pursuant to Section 906 of the Sarbanes-Oxley Act of 2002. </w:t>
            </w:r>
            <w:r>
              <w:rPr>
                <w:rFonts w:ascii="Times New Roman" w:cs="Times New Roman" w:eastAsia="Times New Roman" w:hAnsi="Times New Roman"/>
                <w:sz w:val="18"/>
                <w:szCs w:val="18"/>
                <w:color w:val="000000"/>
              </w:rPr>
              <w: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EE"/>
            </w:tcBorders>
            <w:gridSpan w:val="3"/>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434"/>
        </w:trPr>
        <w:tc>
          <w:tcPr>
            <w:tcW w:w="12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101.INS</w:t>
            </w: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r>
      <w:tr>
        <w:trPr>
          <w:trHeight w:val="234"/>
        </w:trPr>
        <w:tc>
          <w:tcPr>
            <w:tcW w:w="1220" w:type="dxa"/>
            <w:vAlign w:val="bottom"/>
          </w:tcPr>
          <w:p>
            <w:pPr>
              <w:spacing w:after="0"/>
              <w:rPr>
                <w:sz w:val="20"/>
                <w:szCs w:val="20"/>
                <w:color w:val="auto"/>
              </w:rPr>
            </w:pP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 #</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 #</w:t>
            </w:r>
          </w:p>
        </w:tc>
      </w:tr>
    </w:tbl>
    <w:p>
      <w:pPr>
        <w:spacing w:after="0" w:line="198" w:lineRule="exact"/>
        <w:rPr>
          <w:sz w:val="20"/>
          <w:szCs w:val="20"/>
          <w:color w:val="auto"/>
        </w:rPr>
      </w:pPr>
    </w:p>
    <w:p>
      <w:pPr>
        <w:ind w:left="1200" w:hanging="1066"/>
        <w:spacing w:after="0" w:line="282"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 in Inline XBRL.</w:t>
      </w:r>
    </w:p>
    <w:p>
      <w:pPr>
        <w:spacing w:after="0" w:line="134" w:lineRule="exact"/>
        <w:rPr>
          <w:rFonts w:ascii="Times New Roman" w:cs="Times New Roman" w:eastAsia="Times New Roman" w:hAnsi="Times New Roman"/>
          <w:sz w:val="18"/>
          <w:szCs w:val="18"/>
          <w:color w:val="auto"/>
        </w:rPr>
      </w:pPr>
    </w:p>
    <w:p>
      <w:pPr>
        <w:ind w:left="140" w:hanging="136"/>
        <w:spacing w:after="0"/>
        <w:tabs>
          <w:tab w:leader="none" w:pos="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8229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compensation plan or arrangement.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WATSCO, INC.</w:t>
            </w:r>
          </w:p>
        </w:tc>
        <w:tc>
          <w:tcPr>
            <w:tcW w:w="4680" w:type="dxa"/>
            <w:vAlign w:val="bottom"/>
            <w:gridSpan w:val="2"/>
          </w:tcPr>
          <w:p>
            <w:pPr>
              <w:spacing w:after="0"/>
              <w:rPr>
                <w:sz w:val="17"/>
                <w:szCs w:val="17"/>
                <w:color w:val="auto"/>
              </w:rPr>
            </w:pPr>
          </w:p>
        </w:tc>
      </w:tr>
      <w:tr>
        <w:trPr>
          <w:trHeight w:val="237"/>
        </w:trPr>
        <w:tc>
          <w:tcPr>
            <w:tcW w:w="5140" w:type="dxa"/>
            <w:vAlign w:val="bottom"/>
          </w:tcPr>
          <w:p>
            <w:pPr>
              <w:spacing w:after="0"/>
              <w:rPr>
                <w:sz w:val="20"/>
                <w:szCs w:val="20"/>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8, 2026</w:t>
            </w: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Ana M. Menendez</w:t>
            </w:r>
          </w:p>
        </w:tc>
      </w:tr>
      <w:tr>
        <w:trPr>
          <w:trHeight w:val="191"/>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Ana M. Menendez</w:t>
            </w:r>
          </w:p>
        </w:tc>
        <w:tc>
          <w:tcPr>
            <w:tcW w:w="6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tc>
      </w:tr>
      <w:tr>
        <w:trPr>
          <w:trHeight w:val="234"/>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0"/>
        </w:trPr>
        <w:tc>
          <w:tcPr>
            <w:tcW w:w="5140" w:type="dxa"/>
            <w:vAlign w:val="bottom"/>
          </w:tcPr>
          <w:p>
            <w:pPr>
              <w:spacing w:after="0"/>
              <w:rPr>
                <w:sz w:val="24"/>
                <w:szCs w:val="24"/>
                <w:color w:val="auto"/>
              </w:rPr>
            </w:pPr>
          </w:p>
        </w:tc>
        <w:tc>
          <w:tcPr>
            <w:tcW w:w="5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27 of 27</w:t>
            </w:r>
          </w:p>
        </w:tc>
      </w:tr>
      <w:tr>
        <w:trPr>
          <w:trHeight w:val="763"/>
        </w:trPr>
        <w:tc>
          <w:tcPr>
            <w:tcW w:w="5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7" w:name="page28"/>
    <w:bookmarkEnd w:id="27"/>
    <w:p>
      <w:pPr>
        <w:ind w:left="85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H. Nahmad, certify that:</w:t>
      </w:r>
    </w:p>
    <w:p>
      <w:pPr>
        <w:spacing w:after="0" w:line="117" w:lineRule="exact"/>
        <w:rPr>
          <w:sz w:val="20"/>
          <w:szCs w:val="20"/>
          <w:color w:val="auto"/>
        </w:rPr>
      </w:pPr>
    </w:p>
    <w:p>
      <w:pPr>
        <w:ind w:left="440" w:hanging="43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Watsco, Inc.;</w:t>
      </w:r>
    </w:p>
    <w:p>
      <w:pPr>
        <w:spacing w:after="0" w:line="11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24688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 H. Nahmad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28" w:name="page29"/>
    <w:bookmarkEnd w:id="28"/>
    <w:p>
      <w:pPr>
        <w:ind w:left="85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S. Logan, certify that:</w:t>
      </w:r>
    </w:p>
    <w:p>
      <w:pPr>
        <w:spacing w:after="0" w:line="117" w:lineRule="exact"/>
        <w:rPr>
          <w:sz w:val="20"/>
          <w:szCs w:val="20"/>
          <w:color w:val="auto"/>
        </w:rPr>
      </w:pPr>
    </w:p>
    <w:p>
      <w:pPr>
        <w:ind w:left="440" w:hanging="43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Watsco, Inc.;</w:t>
      </w:r>
    </w:p>
    <w:p>
      <w:pPr>
        <w:spacing w:after="0" w:line="11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S.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24688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S. Logan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9" w:right="1099" w:bottom="1440" w:gutter="0" w:footer="0" w:header="0"/>
        </w:sectPr>
      </w:pPr>
    </w:p>
    <w:bookmarkStart w:id="29" w:name="page30"/>
    <w:bookmarkEnd w:id="29"/>
    <w:p>
      <w:pPr>
        <w:ind w:left="854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 M. Menendez, certify that:</w:t>
      </w:r>
    </w:p>
    <w:p>
      <w:pPr>
        <w:spacing w:after="0" w:line="117" w:lineRule="exact"/>
        <w:rPr>
          <w:sz w:val="20"/>
          <w:szCs w:val="20"/>
          <w:color w:val="auto"/>
        </w:rPr>
      </w:pPr>
    </w:p>
    <w:p>
      <w:pPr>
        <w:ind w:left="440" w:hanging="43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Watsco, Inc.;</w:t>
      </w:r>
    </w:p>
    <w:p>
      <w:pPr>
        <w:spacing w:after="0" w:line="11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24688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9" w:right="1099" w:bottom="1440" w:gutter="0" w:footer="0" w:header="0"/>
        </w:sectPr>
      </w:pPr>
    </w:p>
    <w:bookmarkStart w:id="30" w:name="page31"/>
    <w:bookmarkEnd w:id="30"/>
    <w:p>
      <w:pPr>
        <w:ind w:left="85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Watsco, Inc. (“Watsco”) for the quarter ended March 31, 2026, as filed with the Securities and Exchange Commission on the date hereof (the “Report”), Albert H. Nahmad, as Chief Executive Officer of Watsco, Barry S. Logan, as Executive Vice President of Watsco and Ana M. Menendez, as Chief Financial Officer of Watsco, each hereby certifies, pursuant to 18 U.S.C. § 1350, as adopted pursuant to § 906 of the Sarbanes-Oxley Act of 2002, that, to our knowledge:</w:t>
      </w:r>
    </w:p>
    <w:p>
      <w:pPr>
        <w:spacing w:after="0" w:line="72" w:lineRule="exact"/>
        <w:rPr>
          <w:sz w:val="20"/>
          <w:szCs w:val="20"/>
          <w:color w:val="auto"/>
        </w:rPr>
      </w:pPr>
    </w:p>
    <w:p>
      <w:pPr>
        <w:ind w:left="1420" w:hanging="432"/>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420" w:hanging="432"/>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Watsco.</w:t>
      </w:r>
    </w:p>
    <w:p>
      <w:pPr>
        <w:spacing w:after="0" w:line="1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Albert H. Nahmad</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May 8, 2026</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Barry S.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Barry S. Logan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May 8, 2026</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May 8, 2026</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Watsco and will be retained by Watsco and furnished to the Securities and Exchange Commission or its staff upon request.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Watsco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453390</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9" w:right="109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9"/>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43" Type="http://schemas.openxmlformats.org/officeDocument/2006/relationships/hyperlink" Target="https://www.sec.gov/Archives/edgar/data/105016/000119312526082486/wso-ex10_1b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2026-05-08T15:14:08Z</dcterms:created>
  <dcterms:modified xsi:type="dcterms:W3CDTF">2026-05-08T15:14:08Z</dcterms:modified>
</cp:coreProperties>
</file>