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Watsco Incorporated</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 942622200</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942622200</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256,700 Item 8: None Item 9: 256,700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8.32%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942622200</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256,700 Item 8: None Item 9: 256,700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8.32%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Watsco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2665 South Bayshore Drive, Suite 901</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Coconut Grove, FL</w:t>
      </w:r>
      <w:r>
        <w:rPr>
          <w:sz w:val="20"/>
          <w:szCs w:val="20"/>
          <w:color w:val="auto"/>
        </w:rPr>
        <w:tab/>
      </w:r>
      <w:r>
        <w:rPr>
          <w:rFonts w:ascii="Courier New" w:cs="Courier New" w:eastAsia="Courier New" w:hAnsi="Courier New"/>
          <w:sz w:val="16"/>
          <w:szCs w:val="16"/>
          <w:color w:val="auto"/>
        </w:rPr>
        <w:t>33133</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942622200</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256,700</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8.32%</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256,700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common stock of Watsco Incorporated. The interest of one person, Fidelity Low-Priced Stock Fund, an investment company registered under the Investment Company Act of 1940, in the Class A common stock of Watsco Incorporated, amounted to 256,700 shares or 8.32% of the total outstanding Class A common stock at December 31, 1994.</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Class A common stock of Watsco Incorporated at December 31, 1994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256,700 shares or 8.32% of the Class A common stock outstanding of Watsco Incorporated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Low-Priced Stock Fund, amounted to 256,700 shares or 8.32% of the Class A common stock outstanding. Fidelity Low-Priced Stock Fund has its principal business office at 82 Devonshire Street, Boston, Massachusetts 02109.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Edward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C. Johnson</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w w:val="98"/>
              </w:rPr>
              <w:t>3d, FMR Corp., through its control</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w w:val="96"/>
              </w:rPr>
              <w:t>of Fidelity, and the</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Funds each has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sole power</w:t>
            </w:r>
          </w:p>
        </w:tc>
        <w:tc>
          <w:tcPr>
            <w:tcW w:w="5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dispose of the 256,700 shares owned by the Funds.</w:t>
            </w:r>
          </w:p>
        </w:tc>
      </w:tr>
      <w:tr>
        <w:trPr>
          <w:trHeight w:val="405"/>
        </w:trPr>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Neither FMR Corp.</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w w:val="98"/>
              </w:rPr>
              <w:t>nor Edward C. Johnson 3d, Chairman</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of FMR Corp., has</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sole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to vote or</w:t>
            </w:r>
          </w:p>
        </w:tc>
        <w:tc>
          <w:tcPr>
            <w:tcW w:w="5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direct the voting of the shares owned directly by</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the Fidelity Funds, which</w:t>
            </w:r>
          </w:p>
        </w:tc>
        <w:tc>
          <w:tcPr>
            <w:tcW w:w="5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 resides with the Funds' Boards of Trustees.</w:t>
            </w:r>
          </w:p>
        </w:tc>
      </w:tr>
      <w:tr>
        <w:trPr>
          <w:trHeight w:val="203"/>
        </w:trPr>
        <w:tc>
          <w:tcPr>
            <w:tcW w:w="85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Fidelity carries out the voting of the shares under written guidelines</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established by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Funds'</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Boards of Trustees.</w:t>
            </w:r>
          </w:p>
        </w:tc>
        <w:tc>
          <w:tcPr>
            <w:tcW w:w="2160" w:type="dxa"/>
            <w:vAlign w:val="bottom"/>
          </w:tcPr>
          <w:p>
            <w:pPr>
              <w:spacing w:after="0"/>
              <w:rPr>
                <w:sz w:val="17"/>
                <w:szCs w:val="17"/>
                <w:color w:val="auto"/>
              </w:rPr>
            </w:pPr>
          </w:p>
        </w:tc>
      </w:tr>
      <w:tr>
        <w:trPr>
          <w:trHeight w:val="405"/>
        </w:trPr>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Edward C. Johnson</w:t>
            </w:r>
          </w:p>
        </w:tc>
        <w:tc>
          <w:tcPr>
            <w:tcW w:w="3680" w:type="dxa"/>
            <w:vAlign w:val="bottom"/>
          </w:tcPr>
          <w:p>
            <w:pPr>
              <w:ind w:left="40"/>
              <w:spacing w:after="0"/>
              <w:rPr>
                <w:sz w:val="20"/>
                <w:szCs w:val="20"/>
                <w:color w:val="auto"/>
              </w:rPr>
            </w:pPr>
            <w:r>
              <w:rPr>
                <w:rFonts w:ascii="Courier New" w:cs="Courier New" w:eastAsia="Courier New" w:hAnsi="Courier New"/>
                <w:sz w:val="18"/>
                <w:szCs w:val="18"/>
                <w:color w:val="auto"/>
                <w:w w:val="98"/>
              </w:rPr>
              <w:t>3d and Abigail P. Johnson each own</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24.9% of the</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outstanding voting common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stock of FMR Corp.  Mr. Johnson 3d</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 Chairman of</w:t>
            </w:r>
          </w:p>
        </w:tc>
      </w:tr>
    </w:tbl>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Class A common stock of Watsco Incorporated at December 31, 1994.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Low-Priced Stock Fund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2019-12-13T08:18:28Z</dcterms:created>
  <dcterms:modified xsi:type="dcterms:W3CDTF">2019-12-13T08:18:28Z</dcterms:modified>
</cp:coreProperties>
</file>