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1-5581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403225</wp:posOffset>
            </wp:positionV>
            <wp:extent cx="1731645"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WATSCO,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1320" w:type="dxa"/>
            <w:vAlign w:val="bottom"/>
          </w:tcPr>
          <w:p>
            <w:pPr>
              <w:spacing w:after="0"/>
              <w:rPr>
                <w:sz w:val="18"/>
                <w:szCs w:val="18"/>
                <w:color w:val="auto"/>
              </w:rPr>
            </w:pPr>
          </w:p>
        </w:tc>
        <w:tc>
          <w:tcPr>
            <w:tcW w:w="2400" w:type="dxa"/>
            <w:vAlign w:val="bottom"/>
            <w:gridSpan w:val="2"/>
          </w:tcPr>
          <w:p>
            <w:pPr>
              <w:jc w:val="center"/>
              <w:ind w:left="441"/>
              <w:spacing w:after="0"/>
              <w:rPr>
                <w:sz w:val="20"/>
                <w:szCs w:val="20"/>
                <w:color w:val="auto"/>
              </w:rPr>
            </w:pPr>
            <w:r>
              <w:rPr>
                <w:rFonts w:ascii="Arial" w:cs="Arial" w:eastAsia="Arial" w:hAnsi="Arial"/>
                <w:sz w:val="18"/>
                <w:szCs w:val="18"/>
                <w:b w:val="1"/>
                <w:bCs w:val="1"/>
                <w:color w:val="auto"/>
              </w:rPr>
              <w:t>FLORIDA</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1"/>
              </w:rPr>
              <w:t>59-0778222</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2400" w:type="dxa"/>
            <w:vAlign w:val="bottom"/>
            <w:gridSpan w:val="2"/>
          </w:tcPr>
          <w:p>
            <w:pPr>
              <w:jc w:val="center"/>
              <w:ind w:left="4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3"/>
          </w:tcPr>
          <w:p>
            <w:pPr>
              <w:jc w:val="center"/>
              <w:ind w:right="33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240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4"/>
              </w:rPr>
              <w:t>Identification No.)</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2665 South Bayshore Drive, Suite 901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5"/>
              </w:rPr>
              <w:t>Miami, FL 33133</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40" w:type="dxa"/>
            <w:vAlign w:val="bottom"/>
            <w:gridSpan w:val="4"/>
          </w:tcPr>
          <w:p>
            <w:pPr>
              <w:jc w:val="center"/>
              <w:ind w:left="539"/>
              <w:spacing w:after="0"/>
              <w:rPr>
                <w:sz w:val="20"/>
                <w:szCs w:val="20"/>
                <w:color w:val="auto"/>
              </w:rPr>
            </w:pPr>
            <w:r>
              <w:rPr>
                <w:rFonts w:ascii="Arial" w:cs="Arial" w:eastAsia="Arial" w:hAnsi="Arial"/>
                <w:sz w:val="18"/>
                <w:szCs w:val="18"/>
                <w:b w:val="1"/>
                <w:bCs w:val="1"/>
                <w:color w:val="auto"/>
                <w:w w:val="90"/>
              </w:rPr>
              <w:t>(305) 714-4100</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2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3"/>
              </w:rPr>
              <w:t>Trading</w:t>
            </w:r>
          </w:p>
        </w:tc>
        <w:tc>
          <w:tcPr>
            <w:tcW w:w="2520" w:type="dxa"/>
            <w:vAlign w:val="bottom"/>
            <w:gridSpan w:val="5"/>
          </w:tcPr>
          <w:p>
            <w:pPr>
              <w:jc w:val="center"/>
              <w:ind w:left="41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400" w:type="dxa"/>
            <w:vAlign w:val="bottom"/>
            <w:gridSpan w:val="2"/>
          </w:tcPr>
          <w:p>
            <w:pPr>
              <w:jc w:val="center"/>
              <w:ind w:right="1230"/>
              <w:spacing w:after="0" w:line="151" w:lineRule="exact"/>
              <w:rPr>
                <w:sz w:val="20"/>
                <w:szCs w:val="20"/>
                <w:color w:val="auto"/>
              </w:rPr>
            </w:pPr>
            <w:r>
              <w:rPr>
                <w:rFonts w:ascii="Arial" w:cs="Arial" w:eastAsia="Arial" w:hAnsi="Arial"/>
                <w:sz w:val="14"/>
                <w:szCs w:val="14"/>
                <w:b w:val="1"/>
                <w:bCs w:val="1"/>
                <w:color w:val="auto"/>
                <w:w w:val="89"/>
              </w:rPr>
              <w:t>Title of each class</w:t>
            </w:r>
          </w:p>
        </w:tc>
        <w:tc>
          <w:tcPr>
            <w:tcW w:w="620" w:type="dxa"/>
            <w:vAlign w:val="bottom"/>
          </w:tcPr>
          <w:p>
            <w:pPr>
              <w:spacing w:after="0"/>
              <w:rPr>
                <w:sz w:val="14"/>
                <w:szCs w:val="14"/>
                <w:color w:val="auto"/>
              </w:rPr>
            </w:pPr>
          </w:p>
        </w:tc>
        <w:tc>
          <w:tcPr>
            <w:tcW w:w="3400" w:type="dxa"/>
            <w:vAlign w:val="bottom"/>
            <w:gridSpan w:val="4"/>
          </w:tcPr>
          <w:p>
            <w:pPr>
              <w:jc w:val="center"/>
              <w:ind w:right="840"/>
              <w:spacing w:after="0" w:line="151" w:lineRule="exact"/>
              <w:rPr>
                <w:sz w:val="20"/>
                <w:szCs w:val="20"/>
                <w:color w:val="auto"/>
              </w:rPr>
            </w:pPr>
            <w:r>
              <w:rPr>
                <w:rFonts w:ascii="Arial" w:cs="Arial" w:eastAsia="Arial" w:hAnsi="Arial"/>
                <w:sz w:val="14"/>
                <w:szCs w:val="14"/>
                <w:b w:val="1"/>
                <w:bCs w:val="1"/>
                <w:color w:val="auto"/>
                <w:w w:val="88"/>
              </w:rPr>
              <w:t>Symbol(s)</w:t>
            </w:r>
          </w:p>
        </w:tc>
        <w:tc>
          <w:tcPr>
            <w:tcW w:w="880" w:type="dxa"/>
            <w:vAlign w:val="bottom"/>
          </w:tcPr>
          <w:p>
            <w:pPr>
              <w:spacing w:after="0"/>
              <w:rPr>
                <w:sz w:val="14"/>
                <w:szCs w:val="14"/>
                <w:color w:val="auto"/>
              </w:rPr>
            </w:pPr>
          </w:p>
        </w:tc>
        <w:tc>
          <w:tcPr>
            <w:tcW w:w="1640" w:type="dxa"/>
            <w:vAlign w:val="bottom"/>
            <w:gridSpan w:val="4"/>
          </w:tcPr>
          <w:p>
            <w:pPr>
              <w:jc w:val="center"/>
              <w:ind w:right="380"/>
              <w:spacing w:after="0" w:line="151" w:lineRule="exact"/>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81"/>
              </w:rPr>
              <w:t>Common</w:t>
            </w: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par value</w:t>
            </w:r>
          </w:p>
        </w:tc>
        <w:tc>
          <w:tcPr>
            <w:tcW w:w="620" w:type="dxa"/>
            <w:vAlign w:val="bottom"/>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WSO</w:t>
            </w:r>
          </w:p>
        </w:tc>
        <w:tc>
          <w:tcPr>
            <w:tcW w:w="1820" w:type="dxa"/>
            <w:vAlign w:val="bottom"/>
            <w:gridSpan w:val="2"/>
            <w:vMerge w:val="restart"/>
          </w:tcPr>
          <w:p>
            <w:pPr>
              <w:spacing w:after="0" w:line="20" w:lineRule="exact"/>
              <w:rPr>
                <w:sz w:val="1"/>
                <w:szCs w:val="1"/>
                <w:color w:val="auto"/>
              </w:rPr>
            </w:pPr>
          </w:p>
        </w:tc>
        <w:tc>
          <w:tcPr>
            <w:tcW w:w="2520" w:type="dxa"/>
            <w:vAlign w:val="bottom"/>
            <w:gridSpan w:val="5"/>
            <w:vMerge w:val="restart"/>
          </w:tcPr>
          <w:p>
            <w:pPr>
              <w:jc w:val="center"/>
              <w:ind w:left="419"/>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line="20" w:lineRule="exact"/>
              <w:rPr>
                <w:sz w:val="1"/>
                <w:szCs w:val="1"/>
                <w:color w:val="auto"/>
              </w:rPr>
            </w:pPr>
          </w:p>
        </w:tc>
      </w:tr>
      <w:tr>
        <w:trPr>
          <w:trHeight w:val="178"/>
        </w:trPr>
        <w:tc>
          <w:tcPr>
            <w:tcW w:w="1320" w:type="dxa"/>
            <w:vAlign w:val="bottom"/>
            <w:vMerge w:val="continue"/>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stock, $0.50</w:t>
            </w:r>
          </w:p>
        </w:tc>
        <w:tc>
          <w:tcPr>
            <w:tcW w:w="13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Class B common stock, $0.50 par value</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96"/>
              </w:rPr>
              <w:t>WSOB</w:t>
            </w:r>
          </w:p>
        </w:tc>
        <w:tc>
          <w:tcPr>
            <w:tcW w:w="2520" w:type="dxa"/>
            <w:vAlign w:val="bottom"/>
            <w:gridSpan w:val="5"/>
          </w:tcPr>
          <w:p>
            <w:pPr>
              <w:jc w:val="center"/>
              <w:ind w:left="419"/>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0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9"/>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9"/>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720" w:type="dxa"/>
            <w:vAlign w:val="bottom"/>
          </w:tcPr>
          <w:p>
            <w:pPr>
              <w:ind w:left="20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90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40"/>
          </w:cols>
          <w:pgMar w:left="320" w:top="230" w:right="5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9" w:lineRule="exact"/>
        <w:rPr>
          <w:sz w:val="20"/>
          <w:szCs w:val="20"/>
          <w:color w:val="auto"/>
        </w:rPr>
      </w:pPr>
    </w:p>
    <w:p>
      <w:pPr>
        <w:spacing w:after="0" w:line="207" w:lineRule="exact"/>
        <w:tabs>
          <w:tab w:leader="none" w:pos="756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tabs>
          <w:tab w:leader="none" w:pos="2020" w:val="left"/>
          <w:tab w:leader="none" w:pos="4560" w:val="left"/>
        </w:tabs>
        <w:rPr>
          <w:sz w:val="20"/>
          <w:szCs w:val="20"/>
          <w:color w:val="auto"/>
        </w:rPr>
      </w:pPr>
      <w:r>
        <w:rPr>
          <w:rFonts w:ascii="Arial" w:cs="Arial" w:eastAsia="Arial" w:hAnsi="Arial"/>
          <w:sz w:val="18"/>
          <w:szCs w:val="18"/>
          <w:color w:val="auto"/>
        </w:rPr>
        <w:t>Auditor Firm Id: 185</w:t>
      </w:r>
      <w:r>
        <w:rPr>
          <w:sz w:val="20"/>
          <w:szCs w:val="20"/>
          <w:color w:val="auto"/>
        </w:rPr>
        <w:tab/>
      </w:r>
      <w:r>
        <w:rPr>
          <w:rFonts w:ascii="Arial" w:cs="Arial" w:eastAsia="Arial" w:hAnsi="Arial"/>
          <w:sz w:val="18"/>
          <w:szCs w:val="18"/>
          <w:color w:val="auto"/>
        </w:rPr>
        <w:t>Auditor Name: KPMG LLP</w:t>
      </w:r>
      <w:r>
        <w:rPr>
          <w:sz w:val="20"/>
          <w:szCs w:val="20"/>
          <w:color w:val="auto"/>
        </w:rPr>
        <w:tab/>
      </w:r>
      <w:r>
        <w:rPr>
          <w:rFonts w:ascii="Arial" w:cs="Arial" w:eastAsia="Arial" w:hAnsi="Arial"/>
          <w:sz w:val="17"/>
          <w:szCs w:val="17"/>
          <w:color w:val="auto"/>
        </w:rPr>
        <w:t>Auditor Location: Miami, FL</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aggregate market value of the registrant’s voting common equity held by non-affiliates of the registrant as of June 30, 2022, the last business day of the registrant’s most recently completed second fiscal quarter, was approximately $8,072 million, based on the closing sale price of the registrant’s common stock on that date. For purposes of determining this number, all named executive officers and directors of the registrant as of June 30, 2022 were considered affiliates of the registrant. This number is provided only for the purposes of this Annual Report on Form 10-K and does not represent an admission by either the registrant or any such person as to the affiliate status of such person.</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registrant’s common stock outstanding as of February 21, 2023 comprised (i) 33,288,922 shares of Common stock, excluding 4,823,988 treasury shares, and (ii) 5,539,079 shares of Class B common stock, excluding 48,263 treasury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Certain information required by Part II is incorporated by reference from the registrant’s 2022 Annual Report, attached hereto as Exhibit 13. The information required by Part III (Items 10, 11, 12, 13, and 14) is incorporated herein by reference from the registrant’s definitive proxy statement for the 2023 annual meeting of shareholders (to be filed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9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98"/>
              </w:rPr>
              <w:t>WATSCO, INC. AND SUBSIDIARIES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7"/>
          </w:tcPr>
          <w:p>
            <w:pPr>
              <w:jc w:val="center"/>
              <w:ind w:right="3980"/>
              <w:spacing w:after="0"/>
              <w:rPr>
                <w:sz w:val="20"/>
                <w:szCs w:val="20"/>
                <w:color w:val="auto"/>
              </w:rPr>
            </w:pPr>
            <w:r>
              <w:rPr>
                <w:rFonts w:ascii="Arial" w:cs="Arial" w:eastAsia="Arial" w:hAnsi="Arial"/>
                <w:sz w:val="18"/>
                <w:szCs w:val="18"/>
                <w:b w:val="1"/>
                <w:bCs w:val="1"/>
                <w:color w:val="auto"/>
                <w:w w:val="96"/>
              </w:rPr>
              <w:t>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gridSpan w:val="10"/>
          </w:tcPr>
          <w:p>
            <w:pPr>
              <w:jc w:val="center"/>
              <w:ind w:right="254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7"/>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 w:type="dxa"/>
            <w:vAlign w:val="bottom"/>
            <w:vMerge w:val="restart"/>
          </w:tcPr>
          <w:p>
            <w:pPr>
              <w:spacing w:after="0"/>
              <w:rPr>
                <w:sz w:val="20"/>
                <w:szCs w:val="20"/>
                <w:color w:val="auto"/>
              </w:rPr>
            </w:pPr>
            <w:r>
              <w:rPr>
                <w:rFonts w:ascii="Arial" w:cs="Arial" w:eastAsia="Arial" w:hAnsi="Arial"/>
                <w:sz w:val="18"/>
                <w:szCs w:val="18"/>
                <w:color w:val="0000EE"/>
                <w:w w:val="89"/>
              </w:rPr>
              <w:t>PART I</w:t>
            </w:r>
          </w:p>
        </w:tc>
        <w:tc>
          <w:tcPr>
            <w:tcW w:w="320" w:type="dxa"/>
            <w:vAlign w:val="bottom"/>
            <w:gridSpan w:val="3"/>
            <w:vMerge w:val="restart"/>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4"/>
              </w:rPr>
              <w:t>Business</w:t>
            </w:r>
          </w:p>
        </w:tc>
        <w:tc>
          <w:tcPr>
            <w:tcW w:w="91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0"/>
          </w:tcPr>
          <w:p>
            <w:pPr>
              <w:spacing w:after="0"/>
              <w:rPr>
                <w:sz w:val="20"/>
                <w:szCs w:val="20"/>
                <w:color w:val="auto"/>
              </w:rPr>
            </w:pPr>
            <w:r>
              <w:rPr>
                <w:rFonts w:ascii="Arial" w:cs="Arial" w:eastAsia="Arial" w:hAnsi="Arial"/>
                <w:sz w:val="18"/>
                <w:szCs w:val="18"/>
                <w:color w:val="0000EE"/>
              </w:rPr>
              <w:t>Unresolved Staff Comments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Properties</w:t>
            </w:r>
          </w:p>
        </w:tc>
        <w:tc>
          <w:tcPr>
            <w:tcW w:w="77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Legal Proceedings</w:t>
            </w:r>
          </w:p>
        </w:tc>
        <w:tc>
          <w:tcPr>
            <w:tcW w:w="846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0"/>
          </w:tcPr>
          <w:p>
            <w:pPr>
              <w:spacing w:after="0"/>
              <w:rPr>
                <w:sz w:val="20"/>
                <w:szCs w:val="20"/>
                <w:color w:val="auto"/>
              </w:rPr>
            </w:pPr>
            <w:r>
              <w:rPr>
                <w:rFonts w:ascii="Arial" w:cs="Arial" w:eastAsia="Arial" w:hAnsi="Arial"/>
                <w:sz w:val="18"/>
                <w:szCs w:val="18"/>
                <w:color w:val="0000EE"/>
              </w:rPr>
              <w:t>Mine Safety Disclosures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0000EE"/>
              </w:rPr>
              <w:t>PART II</w:t>
            </w: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280" w:type="dxa"/>
            <w:vAlign w:val="bottom"/>
            <w:gridSpan w:val="2"/>
          </w:tcPr>
          <w:p>
            <w:pPr>
              <w:spacing w:after="0"/>
              <w:rPr>
                <w:sz w:val="24"/>
                <w:szCs w:val="24"/>
                <w:color w:val="auto"/>
              </w:rPr>
            </w:pPr>
          </w:p>
        </w:tc>
        <w:tc>
          <w:tcPr>
            <w:tcW w:w="8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0"/>
          </w:tcPr>
          <w:p>
            <w:pPr>
              <w:spacing w:after="0"/>
              <w:rPr>
                <w:sz w:val="20"/>
                <w:szCs w:val="20"/>
                <w:color w:val="auto"/>
              </w:rPr>
            </w:pPr>
            <w:r>
              <w:rPr>
                <w:rFonts w:ascii="Arial" w:cs="Arial" w:eastAsia="Arial" w:hAnsi="Arial"/>
                <w:sz w:val="18"/>
                <w:szCs w:val="18"/>
                <w:color w:val="0000EE"/>
              </w:rPr>
              <w:t>[Reserved]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3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544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0"/>
          </w:tcPr>
          <w:p>
            <w:pPr>
              <w:spacing w:after="0"/>
              <w:rPr>
                <w:sz w:val="20"/>
                <w:szCs w:val="20"/>
                <w:color w:val="auto"/>
              </w:rPr>
            </w:pPr>
            <w:r>
              <w:rPr>
                <w:rFonts w:ascii="Arial" w:cs="Arial" w:eastAsia="Arial" w:hAnsi="Arial"/>
                <w:sz w:val="18"/>
                <w:szCs w:val="18"/>
                <w:color w:val="0000EE"/>
              </w:rPr>
              <w:t>Financial Statements and Supplementary Data</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33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24"/>
                <w:szCs w:val="24"/>
                <w:color w:val="auto"/>
              </w:rPr>
            </w:pPr>
          </w:p>
        </w:tc>
        <w:tc>
          <w:tcPr>
            <w:tcW w:w="804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9C.</w:t>
            </w:r>
          </w:p>
        </w:tc>
        <w:tc>
          <w:tcPr>
            <w:tcW w:w="9800" w:type="dxa"/>
            <w:vAlign w:val="bottom"/>
            <w:gridSpan w:val="20"/>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PART III</w:t>
            </w:r>
          </w:p>
        </w:tc>
        <w:tc>
          <w:tcPr>
            <w:tcW w:w="2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0000EE"/>
              </w:rPr>
              <w:t>PART IV</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15.</w:t>
            </w:r>
          </w:p>
        </w:tc>
        <w:tc>
          <w:tcPr>
            <w:tcW w:w="200" w:type="dxa"/>
            <w:vAlign w:val="bottom"/>
          </w:tcPr>
          <w:p>
            <w:pPr>
              <w:spacing w:after="0"/>
              <w:rPr>
                <w:sz w:val="24"/>
                <w:szCs w:val="24"/>
                <w:color w:val="auto"/>
              </w:rPr>
            </w:pPr>
          </w:p>
        </w:tc>
        <w:tc>
          <w:tcPr>
            <w:tcW w:w="29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Exhibits, Financial Statement Schedules</w:t>
            </w:r>
          </w:p>
        </w:tc>
        <w:tc>
          <w:tcPr>
            <w:tcW w:w="690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6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9800" w:type="dxa"/>
            <w:vAlign w:val="bottom"/>
            <w:gridSpan w:val="20"/>
          </w:tcPr>
          <w:p>
            <w:pPr>
              <w:spacing w:after="0"/>
              <w:rPr>
                <w:sz w:val="20"/>
                <w:szCs w:val="20"/>
                <w:color w:val="auto"/>
              </w:rPr>
            </w:pPr>
            <w:r>
              <w:rPr>
                <w:rFonts w:ascii="Arial" w:cs="Arial" w:eastAsia="Arial" w:hAnsi="Arial"/>
                <w:sz w:val="18"/>
                <w:szCs w:val="18"/>
                <w:color w:val="0000EE"/>
              </w:rPr>
              <w:t>Form 10-K Summary</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SIGNATURES</w:t>
            </w:r>
          </w:p>
        </w:tc>
        <w:tc>
          <w:tcPr>
            <w:tcW w:w="956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15"/>
          </w:tcPr>
          <w:p>
            <w:pPr>
              <w:jc w:val="center"/>
              <w:ind w:left="429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i w:val="1"/>
          <w:iCs w:val="1"/>
          <w:color w:val="auto"/>
        </w:rPr>
        <w:t>This Annual Report on Form 10-K contains or incorporates by reference statements that are not historical in nature and that are intended to be, and are hereby identified as, “forward-looking statements” as defined in the Private Securities Litigation Reform Act of 1995. Statements which are not historical in nature, including the words “anticipate,” “estimate,” “could,” “should,” “may,” “plan,” “seek,” “expect,” “believe,” “intend,” “target,” “will,” “project,” “focused,” “outlook,” “goal,” “designed,” and variations of these words and negatives thereof and similar expressions are intended to identify forward-looking statements, including statements regarding, among others, (i) economic conditions, (ii) business and acquisition strategies, (iii) potential acquisitions and/or joint ventures and investments in unconsolidated entities, (iv) financing plans, and (v) industry, demographic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w:t>
      </w:r>
    </w:p>
    <w:p>
      <w:pPr>
        <w:spacing w:after="0" w:line="100"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both in the United States and in the international markets we serve;</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factors within the HVAC/R industry;</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effects of supplier concentration, including conditions that impact the supply chain;</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certain commodity costs;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consumer spending;</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consumer debt levels;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resurgence of the COVID-19 pandemic;</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new housing starts and completions;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 in the commercial construction market;</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access to liquidity needed for operations;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seasonal nature of product sales;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weather patterns and conditions;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insurance coverage risks;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federal, state, and local regulations impacting our industry and products;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prevailing interest rates;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inflation;</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foreign currency exchange rate fluctuations;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risk;</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cybersecurity risk; and</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continued viability of our business strategy.</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i w:val="1"/>
          <w:iCs w:val="1"/>
          <w:color w:val="auto"/>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the discussion included in Item 1A “Risk Factors” of this Annual Report on Form 10-K, as well as the other documents and reports that we file with the SEC. Forward-looking statements speak only as of the date the statements were made. We assume 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Watsco, Inc. and its subsidiaries (collectively, “Watsco,” or “we,” “us,” or “our</w:t>
      </w:r>
      <w:r>
        <w:rPr>
          <w:rFonts w:ascii="Arial" w:cs="Arial" w:eastAsia="Arial" w:hAnsi="Arial"/>
          <w:sz w:val="18"/>
          <w:szCs w:val="18"/>
          <w:i w:val="1"/>
          <w:iCs w:val="1"/>
          <w:color w:val="auto"/>
        </w:rPr>
        <w:t>”</w:t>
      </w:r>
      <w:r>
        <w:rPr>
          <w:rFonts w:ascii="Arial" w:cs="Arial" w:eastAsia="Arial" w:hAnsi="Arial"/>
          <w:sz w:val="18"/>
          <w:szCs w:val="18"/>
          <w:color w:val="auto"/>
        </w:rPr>
        <w:t>) was incorporated in Florida in 1956 and is the largest distributor of air conditioning, heating and refrigeration equipment and related parts and supplies (“HVAC/R”) in the HVAC/R distribution industry in North America. At December 31, 2022, we operated from 673 locations in 42 U.S.</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86" w:right="4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States, Canada, Mexico and Puerto Rico with additional market coverage on an export basis to portions of Latin America and the Caribbean, through which we serve more than 120,000 active contractors and dealers that service the replacement and new construction markets. Our revenues in HVAC/R distribution have increased from $64.1 million in 1989 to $7.3 billion in 2022, resulting from our strategic acquisition of companies with established market positions and subsequent building of revenues and profit through a combination of additional locations, introduction of new products, and other initiatives.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principal executive office is located at 2665 South Bayshore Drive, Suite 901, Miami, Florida 33133, and our telephone number is (305) 714-4100. Our website address on the Internet is www.watsco.com and e-mails may be sent to info@watsco.com. Our website address is included in this report only as an inactive textual reference. Information contained on, or available through, our website is not incorporated by reference in, or made a part of, this report.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Air Conditioning, Heating and Refrigeration Industry</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HVAC/R distribution industry is highly fragmented with approximately 6,500 distribution companies. The industry in the United States and Canada is well-established, having had its primary period of growth during the post-World War II era with the advent of affordable central air conditioning and heating systems for both residential and commercial applications. The advent of HVAC/R products in Latin America and the Caribbean is also well-established but has emerged in more recent years as those economies have grown and products have become more affordable and have matured from luxury to necessity.</w:t>
      </w:r>
    </w:p>
    <w:p>
      <w:pPr>
        <w:spacing w:after="0" w:line="18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Based on data published in the September 2022 IBIS World Industry Report for Heating and Air Conditioning Contractors in the U.S. and other available data, we estimate that the annual market on an installed basis for residential central air conditioning, heating, and refrigeration equipment, and related parts and supplies is approximately $123.0 billion. Air conditioning and heating equipment is manufactured primarily by seven major companies that together account for approximately 90% of all units shipped in the United States each year. These companies are Carrier Global Corporation (“Carrier”); Daikin Comfort Technologies North America, Inc. (“Daikin”), a subsidiary of Daikin Industries, Ltd.; Rheem Manufacturing Company (“Rheem”); Trane Technologies plc (“Trane”); York International Corporation, a subsidiary of Johnson Controls International plc; Lennox International Inc. (“Lennox”); and Nortek Global HVAC, LLC, a subsidiary of Nortek, Inc. These manufacturers distribute their products through a combination of factory-owned locations and independent distributors who, in turn, supply the equipment and related parts and supplies to contractors and dealers that sell to and install the products for consumers, businesses, and other end-users.</w:t>
      </w:r>
    </w:p>
    <w:p>
      <w:pPr>
        <w:spacing w:after="0" w:line="18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Air conditioning and heating equipment is sold to the replacement and new construction markets for both residential and commercial applications. The residential replacement market has increased in size and importance over the past several years as a result of the aging of the installed base of residential central air conditioners and furnaces, the introduction of new higher energy efficient models to address both regulatory mandates as well as consumer optionality, the remodeling and expansion of existing homes, the addition of central air conditioning to homes that previously had only heating products, and consumers’ overall unwillingness to live without air conditioning or heating products. The mechanical life of central air conditioning and furnaces varies by geographical region due to usage and ranges from approximately 8 to 20 years. According to data published by the Energy Information Administration in May 2022 there are approximately 102 million central air conditioning and heating systems installed in the United States that have been in service for more than 10 years. Many installed units are currently reaching the end of their useful lives, which we believe long-term provides a growing and stable replacement market.</w:t>
      </w:r>
    </w:p>
    <w:p>
      <w:pPr>
        <w:spacing w:after="0" w:line="18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we sell a variety of non-equipment products including parts, ductwork, air movement products, insulation, tools, installation supplies, thermostats, and air quality products. We distribute products manufactured by Flexible Technologies, Inc. (“Flexible Technologies”), Resideo Technologies, Inc. (“Resideo”), Southwark Metal Mfg. Co. (“Southwark”), Johns Manville (“Johns Manville”), and Owens Corning Insulating Systems, LLC (“Owens Corning”), among others.</w:t>
      </w:r>
    </w:p>
    <w:p>
      <w:pPr>
        <w:spacing w:after="0" w:line="18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also sell products to the commercial refrigeration market. These products include condensing units, compressors, evaporators, valves, refrigerant, walk-in coolers, and ice machines for industrial and commercial applications. We distribute products manufactured by Copeland Corporation, LLC, a subsidiary of Emerson Electric Co. (“Emerson”), The Chemours Company (“Chemours”), Mueller Industries, Inc. (“Mueller”), and Welbilt, Inc. (“Welbilt”), among others.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Culture and Business Strategy</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Watsco began its HVAC/R distribution strategy in 1989 and has grown by using a “buy and build” philosophy, resulting in substantial long-term growth in revenues and profits. The “buy” component of the strategy has focused on acquiring or investing in market leaders to either expand into new geographic areas or gain additional market share in existing markets. We have employed a disciplined and conservative approach, which seeks opportunities that fit well-defined financial and strategic criteria. The “build” component of the strategy has focused on encouraging growth at acquired companies, by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86"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adding products and locations to better serve customers, investing in scalable technologies, and exchanging ideas and business concepts amongst leadership teams. Newly acquired businesses have access to our capital resources and established vendor relationships to provide their customers with an expanded array of product lines on favorable terms and conditions with an intensified commitment to service. We have also developed a culture whereby leaders, managers and employees are provided the opportunity to own shares of Watsco through a variety of stock-based equity plans. We believe that this culture instills a performance-driven, long-term focus on the part of our employees and aligns their interests with the interests of other Watsco shareholders.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Culture of Innovation &amp; Technology Strategy</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recent years, we have established a strong culture of innovation, whereby people, processes and technology have rapidly evolved to modernize and digitize our business. With this digital evolution in mind, our efforts have addressed how customers are served, how internal processes and practices can be improved, and how data and analytics can be created and used to enhance long-term performance. Investments include the addition of approximately 300 technology employees along with investments in our locations and infrastructure to enable these technologies.</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To that end, several scalable technology platforms have been launched with the largest focus on customer-focused technologies, which are improving and transforming the customer experience at all of our locations. Specific initiatives include: (i) mobile applications for iOS and Android devices to help customers operate more efficiently and interact with our locations more easily; (ii) e-commerce between our customers and our subsidiaries; (iii) supply chain optimization; (iv) building and maintaining product information management, which is our leading repository of digitized HVAC/R product information used in our mobile applications and e-ecommerce platform; and (v) the development of business intelligence systems and related data sets, which provide enhanced management tools. In addition, through our subsidiary Watsco Ventures, LLC (“Watsco Ventures”), we have developed (internally and through external collaboration) a variety of early-stage technologies with the goal of helping contractor customers grow and become more profitable, and otherwise compliment the initiatives set forth above. These initiatives include OnCall Air</w:t>
      </w:r>
      <w:r>
        <w:rPr>
          <w:rFonts w:ascii="Arial" w:cs="Arial" w:eastAsia="Arial" w:hAnsi="Arial"/>
          <w:sz w:val="25"/>
          <w:szCs w:val="25"/>
          <w:color w:val="auto"/>
          <w:vertAlign w:val="superscript"/>
        </w:rPr>
        <w:t>®</w:t>
      </w:r>
      <w:r>
        <w:rPr>
          <w:rFonts w:ascii="Arial" w:cs="Arial" w:eastAsia="Arial" w:hAnsi="Arial"/>
          <w:sz w:val="17"/>
          <w:szCs w:val="17"/>
          <w:color w:val="auto"/>
        </w:rPr>
        <w:t>, our digital sales platform and CreditForComfort</w:t>
      </w:r>
      <w:r>
        <w:rPr>
          <w:rFonts w:ascii="Arial" w:cs="Arial" w:eastAsia="Arial" w:hAnsi="Arial"/>
          <w:sz w:val="25"/>
          <w:szCs w:val="25"/>
          <w:color w:val="auto"/>
          <w:vertAlign w:val="superscript"/>
        </w:rPr>
        <w:t>®</w:t>
      </w:r>
      <w:r>
        <w:rPr>
          <w:rFonts w:ascii="Arial" w:cs="Arial" w:eastAsia="Arial" w:hAnsi="Arial"/>
          <w:sz w:val="17"/>
          <w:szCs w:val="17"/>
          <w:color w:val="auto"/>
        </w:rPr>
        <w:t>, its companion consumer financing platform, among others.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Strategy in Existing Markets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strategy for growth in existing markets focuses on customer service, product expansion, and the implementation of technology to satisfy the needs of the higher growth, higher margin replacement market, in which customers generally demand immediate, convenient, and reliable service. We respond to this need by: (i) offering a broad range of product lines, including the necessary equipment at an array of price-points, parts, and supplies to enable a contractor to install or repair a central air conditioner, furnace, or refrigeration system; (ii) maintaining a strong density of warehouse locations for increased customer convenience; (iii) maintaining well-stocked inventories to ensure that customer orders are filled in a timely manner; (iv) providing a high degree of technical expertise at the point of sale; (v) collaborating with customers to advertise and market their business and services in local markets; and (vi) developing and implementing technology to further enhance customer service capabilities. We believe these concepts provide a competitive advantage over smaller, less-capitalized competitors that are unable to commit resources to open and maintain additional locations, implement technological business solutions, provide the same range of products, maintain the same inventory levels, or attract the wide range of expertise that is required to support a diverse product offering. In some geographic areas, we believe we have a competitive advantage over factory-operated distribution networks, which typically do not maintain inventories of parts and supplies that are as diversified as ours and which have fewer warehouse locations than we do, making it more difficult for these competitors to meet the time-sensitive demands of the replacement market.</w:t>
      </w:r>
    </w:p>
    <w:p>
      <w:pPr>
        <w:spacing w:after="0" w:line="168"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In addition to the replacement market, we sell to the new construction market, including new homes and commercial construction. We believe our reputation for reliable, high-quality service, and relationships with contractors, who may serve both the replacement and new construction markets, allows us to compete effectively in these markets.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Product Line Expansion</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actively seek new or expanded territories of distribution from our key equipment suppliers. We continually evaluate new parts and supply products to support equipment sales and further enhance service to our customers. This initiative includes increasing our product offering with existing vendors and identifying new product opportunities through traditional and non-traditional supply channels. We have also introduced private-label products as a means to obtain market share and grow revenues. We believe that our private-label branded products complement our existing product offerings at selected locations, based on customer needs and the particular market position and price of these products.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Acquisition Strategy</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focus on acquiring and investing in businesses that either complement our current presence in existing markets or establish a presence in new geographic markets. Since 1989, we have acquired 66 HVAC/R distribution businesses, some of which currently operate as primary operating subsidiaries. Other smaller acquired distributors have been integrated into or are under the management of our primary operating subsidiaries. Through a combination of sales and market share growth, opening of new locations, tuck-in acquisitions, expansion of product lines, improved pricing, and programs that have resulted in higher gross profit, performance incentives, and a culture of equity value for key leadership, we have produced substantial sales and earnings growth in our acquired businesses. We continue to pursue additional strategic acquisitions, investments and joint ventures to allow further penetration in existing markets and expansion into new geographic markets.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Operating Philosophy</w:t>
      </w:r>
    </w:p>
    <w:p>
      <w:pPr>
        <w:spacing w:after="0" w:line="11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encourage our local leadership to operate in a manner that builds upon the long-term relationships they have established with their suppliers and customers. Typically, we maintain the identity of businesses by retaining their historical trade names, management teams and sales organizations, and continuity of their product brand-name offerings. We believe this strategy allows us to build on the value of the acquired operations by creating additional sales opportunities while providing an attractive exit strategy for the former owners of these companies.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maintain a specialized staff at our corporate headquarters that provides functional support for our subsidiaries’ growth strategies in their respective markets. Such functional support staff includes specialists in finance, accounting, product procurement, information technology, treasury and working capital management, tax planning, risk management, and safety. Certain general and administrative expenses are targeted for cost savings by leveraging the overall business volume and improving operating efficiencies.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Human Capital 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Population</w:t>
      </w:r>
    </w:p>
    <w:p>
      <w:pPr>
        <w:spacing w:after="0" w:line="11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As the largest distributor of HVAC/R equipment and related parts and supplies in North America, we have a wide variety of employees. Given the breadth of our employee base, we tailor our human capital management policies with a view to specific employee populations.</w:t>
      </w:r>
    </w:p>
    <w:p>
      <w:pPr>
        <w:spacing w:after="0" w:line="14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2022, we employed approximately 7,200 full-time and 75 part-time employees (approximately 7,275 total employees), substantially all of whom were non-union employees. Of these employees, approximately 8% were located in Canada and Mexico. Additionally, we use independent contractors and temporary personnel in the normal course of business to supplement our workforce.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Diversity and Inclusion</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value and foster the diversity and inclusion of the people with whom we work. Our commitment includes providing equal access to, and participation in, employment and advancement opportunities without regard to race, color, religion, national origin, age, disability, veteran or military status, pregnancy status, sex, gender identity, sexual orientation, or marital status. Diverse teams facilitate contributions from people of different backgrounds and varied points of view. Furthermore, we believe that diverse teams make better decisions faster and outperform similarly situated less diverse teams. Additionally, we believe that employees who feel valued, understood, and inspired benefit the Company as a whole. Inclusive leadership leads to innovative solutions, and an inclusive environment is a critical foundation for us, as high-performing, engaged teams join together to help us implement our strategies.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focus on attracting and retaining employees by providing compensation and benefits programs that are competitive within our industry, taking into account each job position’s location and responsibilities. In addition to salaries, commission programs, cash incentives, and stock-based equity plans, we also provide a 401(k) retirement plan with a company match, an employee stock purchase plan in which most of our employees may purchase our stock at a discount, healthcare and insurance benefits, health savings accounts, paid time off, and various services and tools to support our employees’ health and wellness.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Pay-for-Performance and Ownership Culture</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maintain a culture that rewards performance of key leaders through stock-based equity plans, which include the granting of stock options and restricted stock based on individual merit and measures of performance. Approximately 140 employees received such equity awards in 2022. Our equity compensation plans are designed to promote long-term performance, as well as to create long-term employee retention, continuity of leadership, and an ownership culture whereby management and employees think and act as owners of the Company. We believe that our restricted stock program is unique because an employee’s restricted share grants generally vest entirely and only at the end of his or her career (age 62 or later) and, prior to retirement, these grants remain subject to significant risk of forfeiture.</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20"/>
          </w:cols>
          <w:pgMar w:left="320" w:top="48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Talent Development</w:t>
      </w:r>
    </w:p>
    <w:p>
      <w:pPr>
        <w:spacing w:after="0" w:line="11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Our culture celebrates talent sharing, career development, and agility across the Company. We provide a wide variety of opportunities for professional growth and talent development for all employees, including online trainings, on-the-job experience, and education tuition assistance.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continuously strive to improve all aspects of our work practices. We actively support a culture of safety and wellness for the benefit of our employees and their families along with our customers. Providing a safe and healthy work environment is a business priority and is core to our values. Health and safety are an essential part of a broader workforce strategy that reduces the risk of harm to employees and helps them remain healthy, engaged and productive.</w:t>
      </w:r>
    </w:p>
    <w:p>
      <w:pPr>
        <w:spacing w:after="0" w:line="18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To build and sustain a culture based on these principles, our commitment to safety and wellness is incorporated into the incentive structure of our key operational leaders. For wellness, we measure employee engagement in completing annual physicals and health assessments to help ensure that our philosophical values are put into action. For safety, we measure and carefully evaluate incidents related to workers compensation, vehicle accidents and injuries to third-parties, and we continuously seek to improve safety measures intended to reduce the number of such incidents.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Products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sell an expansive line of products and maintain a diverse mix of inventory to meet our customers’ immediate needs, and we seek to provide products a contractor would generally require when installing or repairing a central air conditioner, furnace, or refrigeration system on short notice. The cooling capacity of air conditioning units is measured in tons. One ton of cooling capacity is equivalent to 12,000 British Thermal Units (“BTUs”) and is generally adequate to air condition approximately 500 square feet of residential space. The products we distribute consist of: (i) equipment, including residential ducted and ductless air conditioners ranging from 1 to 5 tons, gas, electric, and oil furnaces ranging from 50,000 to 150,000 BTUs, commercial air conditioning and heating equipment systems ranging from 1-1/2 to 25 tons, and other specialized equipment; (ii) parts, including replacement compressors, evaporator coils, motors, and other component parts; (iii) supplies, including thermostats, insulation material, refrigerants, ductwork, grills, registers, sheet metal, tools, copper tubing, concrete pads, tape, adhesives, and other ancillary supplies; and (iv) plumbing and bathroom remodeling supplies in a limited number of stores.</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Sales of HVAC equipment, which we currently source from approximately 20 vendors, accounted for 68% and 69% of our revenues for the years ended December 31, 2022 and 2021, respectively. Sales of other HVAC products, which we currently source from approximately 1,300 vendors, comprised 28% of our revenues in 2022 and 2021. Sales of commercial refrigeration products, which we currently source from approximately 140 vendors, accounted for 4% and 3% of our revenues in 2022 and 2021,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Distribution and Sales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At December 31, 2022, we operated from 673 locations, a vast majority of which are located in regions that we believe have demographic trends favorable to our business. We maintain large inventories at each of our warehouse locations and either deliver products to customers using our trucks or third-party logistics providers, or we make products available for pick-up at the location nearest to the particular customer. We have approximately 1,200 salespeople, averaging 14 years of experience in the HVAC/R distribution industry.</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 of Revenues for</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0"/>
              </w:rPr>
              <w:t>The markets we serve are as follows:</w:t>
            </w:r>
          </w:p>
        </w:tc>
        <w:tc>
          <w:tcPr>
            <w:tcW w:w="100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21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the Year Ended</w:t>
            </w: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Locations as of</w:t>
            </w:r>
          </w:p>
        </w:tc>
        <w:tc>
          <w:tcPr>
            <w:tcW w:w="0" w:type="dxa"/>
            <w:vAlign w:val="bottom"/>
          </w:tcPr>
          <w:p>
            <w:pPr>
              <w:spacing w:after="0"/>
              <w:rPr>
                <w:sz w:val="1"/>
                <w:szCs w:val="1"/>
                <w:color w:val="auto"/>
              </w:rPr>
            </w:pPr>
          </w:p>
        </w:tc>
      </w:tr>
      <w:tr>
        <w:trPr>
          <w:trHeight w:val="163"/>
        </w:trPr>
        <w:tc>
          <w:tcPr>
            <w:tcW w:w="2260" w:type="dxa"/>
            <w:vAlign w:val="bottom"/>
            <w:tcBorders>
              <w:bottom w:val="single" w:sz="8" w:color="auto"/>
            </w:tcBorders>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2140" w:type="dxa"/>
            <w:vAlign w:val="bottom"/>
            <w:gridSpan w:val="2"/>
          </w:tcPr>
          <w:p>
            <w:pPr>
              <w:jc w:val="center"/>
              <w:ind w:right="980"/>
              <w:spacing w:after="0" w:line="158" w:lineRule="exact"/>
              <w:rPr>
                <w:sz w:val="20"/>
                <w:szCs w:val="20"/>
                <w:color w:val="auto"/>
              </w:rPr>
            </w:pPr>
            <w:r>
              <w:rPr>
                <w:rFonts w:ascii="Arial" w:cs="Arial" w:eastAsia="Arial" w:hAnsi="Arial"/>
                <w:sz w:val="14"/>
                <w:szCs w:val="14"/>
                <w:b w:val="1"/>
                <w:bCs w:val="1"/>
                <w:color w:val="auto"/>
                <w:w w:val="91"/>
              </w:rPr>
              <w:t>December 31, 2022</w:t>
            </w:r>
          </w:p>
        </w:tc>
        <w:tc>
          <w:tcPr>
            <w:tcW w:w="12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
        </w:trPr>
        <w:tc>
          <w:tcPr>
            <w:tcW w:w="3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214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91%</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612</w:t>
            </w:r>
          </w:p>
        </w:tc>
        <w:tc>
          <w:tcPr>
            <w:tcW w:w="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900" w:type="dxa"/>
            <w:vAlign w:val="bottom"/>
            <w:gridSpan w:val="3"/>
          </w:tcPr>
          <w:p>
            <w:pPr>
              <w:jc w:val="right"/>
              <w:ind w:right="82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Latin America and the Caribbean</w:t>
            </w:r>
          </w:p>
        </w:tc>
        <w:tc>
          <w:tcPr>
            <w:tcW w:w="1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1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100%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vMerge w:val="restart"/>
          </w:tcPr>
          <w:p>
            <w:pPr>
              <w:jc w:val="right"/>
              <w:ind w:right="710"/>
              <w:spacing w:after="0"/>
              <w:rPr>
                <w:sz w:val="20"/>
                <w:szCs w:val="20"/>
                <w:color w:val="auto"/>
              </w:rPr>
            </w:pPr>
            <w:r>
              <w:rPr>
                <w:rFonts w:ascii="Arial" w:cs="Arial" w:eastAsia="Arial" w:hAnsi="Arial"/>
                <w:sz w:val="18"/>
                <w:szCs w:val="18"/>
                <w:color w:val="auto"/>
              </w:rPr>
              <w:t>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largest market we serve is the United States, in which the most significant markets for HVAC/R products are in the Sun Belt states. Accordingly, the majority of our distribution locations are in the Sun Belt, with the highest concentration in Florida and Texas. These markets have been a strategic focus of ours given their size, the reliance by homeowners and businesses on HVAC/R products to maintain a comfortable indoor environment, and the population growth in these areas over the last 40 years, which has led to a substantial installed base requiring replacement, a shorter useful life for equipment given the significant hours of operation, and the focus by electrical utilities on consumer incentives designed to promote replacement of HVAC/R equipment in an effort to improve energy efficiency.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88"/>
              </w:rPr>
              <w:t>Table of Contents</w:t>
            </w:r>
          </w:p>
        </w:tc>
        <w:tc>
          <w:tcPr>
            <w:tcW w:w="76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Markets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The table below identifies the number of our stores by location as of December 31, 2022: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vMerge w:val="restart"/>
          </w:tcPr>
          <w:p>
            <w:pPr>
              <w:spacing w:after="0"/>
              <w:rPr>
                <w:sz w:val="21"/>
                <w:szCs w:val="21"/>
                <w:color w:val="auto"/>
              </w:rPr>
            </w:pPr>
          </w:p>
        </w:tc>
        <w:tc>
          <w:tcPr>
            <w:tcW w:w="580" w:type="dxa"/>
            <w:vAlign w:val="bottom"/>
            <w:vMerge w:val="restart"/>
          </w:tcPr>
          <w:p>
            <w:pPr>
              <w:spacing w:after="0"/>
              <w:rPr>
                <w:sz w:val="21"/>
                <w:szCs w:val="21"/>
                <w:color w:val="auto"/>
              </w:rPr>
            </w:pPr>
          </w:p>
        </w:tc>
        <w:tc>
          <w:tcPr>
            <w:tcW w:w="6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Texas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California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Louisiana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Virginia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Pennsylvania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New Jersey</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Alabama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Massachusetts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Missouri</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Kansas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Indiana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Utah</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Minnesota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West Virginia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Iowa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Maine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Nevada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New Hampshire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South Dakota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Colorado</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Michigan</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North Dakota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Vermont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Canada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Puerto Rico</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673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u w:val="single" w:color="auto"/>
          <w:color w:val="auto"/>
        </w:rPr>
        <w:t>Joint Ventures with Carrier Global Corporation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2009, we formed a joint venture with Carrier, which we refer to as Carrier Enterprise I, in which Carrier contributed company-owned locations in the Sun Belt states and Puerto Rico, and its export division in Miami, Florida, and we contributed certain locations that distributed Carrier products. We have an 80% controlling interest in Carrier Enterprise I, and Carrier has a 20% non-controlling interest. In 2019, Carrier Enterprise I acquired substantially all of the HVAC assets and assumed certain of the liabilities of Peirce-Phelps, Inc., an HVAC distributor operating in Pennsylvania, New Jersey, and Delaware. Carrier Enterprise I has a 38.1% ownership interest in Russell Sigler, Inc., an HVAC distributor operating from 35 locations in the Western U.S.</w:t>
      </w:r>
    </w:p>
    <w:p>
      <w:pPr>
        <w:sectPr>
          <w:pgSz w:w="11900" w:h="16838" w:orient="portrait"/>
          <w:cols w:equalWidth="0" w:num="1">
            <w:col w:w="11080"/>
          </w:cols>
          <w:pgMar w:left="320" w:top="473" w:right="499" w:bottom="1440" w:gutter="0" w:footer="0" w:header="0"/>
        </w:sectPr>
      </w:pP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80"/>
          </w:cols>
          <w:pgMar w:left="320" w:top="473"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export division of Carrier Enterprise I, Carrier InterAmerica Corporation (“CIAC”), redomesticated from the U.S. Virgin Islands to Delaware in 2019, following which CIAC became a separate operating entity in which we have an 80% controlling interest and Carrier has a 20% non-controlling interest.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2011, we formed a second joint venture with Carrier, which we refer to as Carrier Enterprise II, in which Carrier contributed company-owned locations in the Northeast U.S., and we contributed certain locations operating as Homans Associates LLC (“Homans”), a Watsco subsidiary, in the Northeast U.S. Subsequently, Carrier Enterprise II purchased Carrier’s distribution operations in Mexico. We have an 80% controlling interest in Carrier Enterprise II, and Carrier has a 20% non-controlling interest. In 2019, we repurchased the 20% ownership interest in Homans from Carrier Enterprise II and have since solely owned and operated Homans.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2012, we formed a third joint venture with Carrier, which we refer to as Carrier Enterprise III, to which Carrier contributed company-owned locations in Canada. We have a 60% controlling interest in Carrier Enterprise III, and Carrier has a 40% non-controlling interest.</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April 2021, we acquired certain assets and assumed certain liabilities comprising the HVAC distribution business of Temperature Equipment Corporation, an HVAC distributor operating from Illinois, Indiana, Kansas, Michigan, Minnesota, Missouri and Wisconsin. We formed a new joint venture with Carrier, TEC Distribution LLC (“TEC”), that operates this business. We have an 80% controlling interest in TEC, and Carrier has a 20% non-controlling interest.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Combined, the joint ventures with Carrier represented 54% of our revenues in 2022. See </w:t>
      </w:r>
      <w:r>
        <w:rPr>
          <w:rFonts w:ascii="Arial" w:cs="Arial" w:eastAsia="Arial" w:hAnsi="Arial"/>
          <w:sz w:val="16"/>
          <w:szCs w:val="16"/>
          <w:i w:val="1"/>
          <w:iCs w:val="1"/>
          <w:color w:val="auto"/>
        </w:rPr>
        <w:t>Supplier Concentration</w:t>
      </w:r>
      <w:r>
        <w:rPr>
          <w:rFonts w:ascii="Arial" w:cs="Arial" w:eastAsia="Arial" w:hAnsi="Arial"/>
          <w:sz w:val="16"/>
          <w:szCs w:val="16"/>
          <w:color w:val="auto"/>
        </w:rPr>
        <w:t xml:space="preserve"> in “Business Risk Factors” in Item 1A.</w:t>
      </w:r>
    </w:p>
    <w:p>
      <w:pPr>
        <w:spacing w:after="0" w:line="24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business and affairs of the joint ventures are controlled, directed, and managed exclusively by Carrier Enterprise I’s, Carrier Enterprise II’s, Carrier Enterprise III’s, CIAC, and TEC’s respective boards of directors (the “Boards”) pursuant to related operating agreements. The Boards have full, complete and exclusive authority, power, and discretion to manage and control the business, property, and affairs of their respective joint ventures, and to make all decisions regarding those matters and to perform activities customary or incident to the management of such joint ventures, including approval of distributions to us and Carrier. Each Board is composed of five directors, of whom three directors represent our controlling interest and two directors represent Carrier’s non-controlling interest. Matters presented to the Boards for vote are considered approved or consented to upon the receipt of the affirmative vote of at least a majority of all directors entitled to vote with the exception of certain governance matters, which require joint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Customers and Customer Service</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Air conditioning and heating contractors and dealers that install HVAC/R products in homes and businesses must be licensed given the highly regulated nature of the products, refrigerant, natural gas, and building and zoning requirements. We currently serve more than 120,000 active contractors and dealers who service the replacement and new construction markets for residential and light commercial central air conditioning, heating, and refrigeration systems. No single customer in 2022, 2021, or 2020 represented more than 2% of our consolidated revenues. We focus on providing products where and when the customer needs them, technical support by phone or on site as required, and quick and efficient service at our locations. Increased customer convenience is also provided through mobile applications and e-commerce, which allows customers to access information online 24 hours a day, seven days a week to search for desired products, verify inventory availability, obtain pricing, place orders, check order status, schedule pickup or delivery times, and make payments. We believe we compete successfully with other distributors primarily based on an experienced sales organization, strong service support, maintenance of well-stocked inventories, density of warehouse locations, high quality reputation, broad product lines, and the ability to foresee customer demand for new products.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Key Supplier Relationships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Given our leadership position, Watsco represents a strategic business relationship to many of the leading manufacturers in our industry. Significant relationships with HVAC/R equipment manufacturers include Carrier, Rheem, Daikin, Mitsubishi Electric Corporation, Gree Electric Appliances, Inc., Welbilt, Bosch Global, Trane, Lennox, and Midea Group. In addition, we have substantial relationships with manufacturers of non-equipment HVAC/R products, including Mueller, Flexible Technologies, Southwark, Resideo, DiversiTech Corp., Emerson, Johns Manville, Chemours, and Owens Corning.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believe the diversity of products that we sell, along with the manufacturers’ current product offerings, quality, marketability, and brand-name recognition, allow us to operate favorably relative to our competitors. To maintain brand-name recognition, HVAC/R equipment manufacturers provide national advertising and participate with us in cooperative advertising programs and promotional incentives that are targeted to both dealers and end-users. We estimate that the replacement market for residential air conditioning equipment is approximately 85%-90% of industry unit sales in the United States, and we expect this percentage to increase as units installed in the past 20 years wear out or otherwise become practical to replace sooner with newer, more energy-efficient models.</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Company’s top ten suppliers accounted for 84% of our purchases, including 60% from Carrier, and 8% from Rheem. Given the significant concentration of our suppliers, particularly with Carrier and Rheem, any material interruption with these suppliers, including limitations on the ability of our suppliers to manufacture, or procure from manufacturers, the products we sell, or to meet delivery requirements and commitments, whether due to supply chain disruptions, labor shortages or otherwise, could temporarily disrupt the operations of certain of our subsidiaries, impact current inventory levels, and could adversely affect our financial results. If any restrictions or significant increase in tariffs under existing trade agreements are imposed on products that our top ten suppliers import or assemble outside of the United States, particularly from Mexico and China, we could be required to raise our prices, which may result in the loss of customers and harm to our business. Future financial results are also materially dependent upon the continued market acceptance of these manufacturers’ respective products and their ability to continue to manufacture products that comply with laws relating to environmental and efficiency standards. However, the Company believes that alternative or substitute products would be readily available in the event of disruption of current supplier relationships given the Company’s prominence in the marketplace, including the number of locations, sales personnel, support structure, marketing and sales expertise, financial position, and established market share. See “Business Risk Factors” in Item 1A of this Annual Report on Form 10-K for further discussion.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Distribution Agreements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maintain trade name and distribution agreements with Carrier, Rheem, and Mitsubishi that provide us distribution rights on an exclusive basis in specified territories and are not subject to a stated term or expiration date. We also maintain distribution agreements with various other suppliers, either on an exclusive or non-exclusive basis, for various terms ranging from one to ten years. Certain distribution agreements for particular branded products contain provisions that restrict or limit the sale of competitive products in the locations that sell such branded products. Other than where such location-level restrictions apply, we may distribute the lines of other manufacturers’ air conditioning or heating equipment in other locations in the same territories.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Supplier Concentration</w:t>
      </w:r>
      <w:r>
        <w:rPr>
          <w:rFonts w:ascii="Arial" w:cs="Arial" w:eastAsia="Arial" w:hAnsi="Arial"/>
          <w:sz w:val="18"/>
          <w:szCs w:val="18"/>
          <w:color w:val="auto"/>
        </w:rPr>
        <w:t xml:space="preserve"> in “Business Risk Factors” in Item 1A of this Annual Report on Form 10-K.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Seasonality</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Sales of residential central air conditioners, heating equipment, and parts and supplies are seasonal. Furthermore, profitability can be impacted favorably or unfavorably based on weather patterns, particularly during Summer and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we serve tends to be fairly evenly distributed throughout the year and depends largely on housing completions and related weather and economic conditions.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Competition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operate in highly competitive environments. We compete with a number of distributors and also with several air conditioning and heating equipment manufacturers that distribute a significant portion of their products through their own distribution organizations in certain markets. Competition within any given geographic market is based upon product availability, customer service, price, and quality. Competitive pressures or other factors could cause our products or services to lose market acceptance or result in significant price erosion, all of which would have a material adverse effect on our results of operations, cash flows, and liquidity.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Order Backlog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 backlog is not a material aspect of our business, and no material portion of our business is subject to government contracts.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Regulations, Environmental, and Health and Safety Matters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business is subject to federal, state and local laws, and regulations relating to the storage, handling, transportation, and release of hazardous materials into the environment. These laws and regulations include the Clean Air Act, relating to minimum energy efficiency standards of HVAC systems, and the production, servicing, and disposal of more environmentally friendly refrigerants used in such systems, including those established by the Kigali Amendment to the</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86" w:right="4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Montreal Protocol concerning the phase-down of the production of HFC-based refrigerants for use in new equipment. We are also subject to regulations concerning the transport of hazardous materials, including regulations adopted pursuant to the Motor Carrier Safety Act of 1990. Our operations are also subject to health and safety requirements including, but not limited to, the Occupational, Safety and Health Act.</w:t>
      </w:r>
    </w:p>
    <w:p>
      <w:pPr>
        <w:spacing w:after="0" w:line="165" w:lineRule="exact"/>
        <w:rPr>
          <w:sz w:val="20"/>
          <w:szCs w:val="20"/>
          <w:color w:val="auto"/>
        </w:rPr>
      </w:pPr>
    </w:p>
    <w:p>
      <w:pPr>
        <w:jc w:val="both"/>
        <w:ind w:left="120" w:right="500"/>
        <w:spacing w:after="0" w:line="279" w:lineRule="auto"/>
        <w:rPr>
          <w:sz w:val="20"/>
          <w:szCs w:val="20"/>
          <w:color w:val="auto"/>
        </w:rPr>
      </w:pPr>
      <w:r>
        <w:rPr>
          <w:rFonts w:ascii="Arial" w:cs="Arial" w:eastAsia="Arial" w:hAnsi="Arial"/>
          <w:sz w:val="17"/>
          <w:szCs w:val="17"/>
          <w:color w:val="auto"/>
        </w:rPr>
        <w:t>These laws and regulations are continuously changing, and compliance is costly and can require changes to our business practices and significant management time and effort. However, it is our opinion that the costs related to compliance requirements for government, environmental, or other regulations will not have a material adverse impact on our business, financial condition, and results of operations. We believe that we operate our business in compliance with all applicable federal, state and local laws, and regulations.</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industry and business are also subject to United States Department of Energy (“DOE”) standards related to the minimum required efficiency levels of residential central air conditioning systems and heat pumps. For purposes of establishing these energy conservation standards, the DOE divides the United States into three regions (the North, the Southeast, and the Southwest) according to the number of hours that an air conditioner operates to cool a home during the hotter months. The seasonal energy efficiency rating, or SEER, is the metric used to measure HVAC energy efficiency. The higher the SEER, the more efficient the HVAC equipment.</w:t>
      </w:r>
    </w:p>
    <w:p>
      <w:pPr>
        <w:spacing w:after="0" w:line="18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Beginning in 2023, the minimum efficiency level for residential HVAC systems under 45,000 BTUs is 14 SEER in the North and 15 SEER in the Southeast and Southwest. For systems over 45,000 BTUs, the minimum efficiency level is 14 SEER in the North and 14.5 SEER in the Southeast and Southwest. Heat pump efficiency levels, which are measured by the equipment’s heating seasonal performance factor (“HSPF”), is 8.8 HSPF compared with the 8.2 HSPF required by the current standard for all three regions. It is too early to determine the impact to our results of operations this transition will have; however, we expect a benefit from selling higher efficiency units, which sell at higher prices, as historically these changes have increased the cost to service and repair existing systems, which in turn influences a consumer’s decision to replace them.</w:t>
      </w:r>
    </w:p>
    <w:p>
      <w:pPr>
        <w:spacing w:after="0" w:line="164"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In December 2020, the American Innovation and Manufacturing Act of 2020 (the “AIM Act”) was enacted, which gave the United States Environmental Protection Agency (“EPA”) regulatory authority to address hydrofluorocarbon (“HFC”) refrigerants. HFCs were developed to replace certain refrigerants, such as chlorofluorocarbons and hydrochlorofluorocarbons that were harmful to the ozone layer, but are considered potent greenhouse gases as a result of their global warming potential (“GWP”). The Aim Act directed the EPA to administer an 85% phasedown down of the production and consumption of HFCs over a 15-year timeframe beginning on January 1, 2022 and put in place restrictions on HVAC equipment that require them to have refrigerants with less than 750 GWP by January 1, 2025. We are planning for the transition of our inventory to HVAC equipment with refrigerants that comply with the new standard, and we believe we will complete this transition in accordance with the required timeline.</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During 2014, the DOE established new rules for the manufacturing of motors used in residential furnaces with the purpose of increasing the energy efficiency of these motors, and, consequently, the furnaces in which they operate. The mandate dictates that residential furnace fans manufactured in the United States on or after the effective date of July 3, 2019, must have a Fan Energy Rating (“FER”) value reduction of 12% or 46% in watts/cfm, depending on the type of furnace. To meet these new standards, most manufacturers have replaced the permanent split capacitor blower motors in residential furnaces with electronic controlled motors. The transition of our inventory of residential furnaces to those meeting the updated FER standards was complete by the end of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Climate Change and Reductions in CO</w:t>
      </w:r>
      <w:r>
        <w:rPr>
          <w:rFonts w:ascii="Arial" w:cs="Arial" w:eastAsia="Arial" w:hAnsi="Arial"/>
          <w:sz w:val="26"/>
          <w:szCs w:val="26"/>
          <w:b w:val="1"/>
          <w:bCs w:val="1"/>
          <w:color w:val="auto"/>
          <w:vertAlign w:val="subscript"/>
        </w:rPr>
        <w:t>2</w:t>
      </w:r>
      <w:r>
        <w:rPr>
          <w:rFonts w:ascii="Arial" w:cs="Arial" w:eastAsia="Arial" w:hAnsi="Arial"/>
          <w:sz w:val="18"/>
          <w:szCs w:val="18"/>
          <w:b w:val="1"/>
          <w:bCs w:val="1"/>
          <w:color w:val="auto"/>
        </w:rPr>
        <w:t>e Emissions</w:t>
      </w:r>
    </w:p>
    <w:p>
      <w:pPr>
        <w:spacing w:after="0" w:line="136"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We believe that our business plays an important and significant role in the drive to lower CO2e emissions. According to the DOE, heating and air conditioning accounts for roughly half of household energy consumption in the United States. As such, replacing older, less efficient HVAC systems with higher efficiency systems is one of the most meaningful steps homeowners can take to reduce their electricity costs and carbon footprint.</w:t>
      </w:r>
    </w:p>
    <w:p>
      <w:pPr>
        <w:spacing w:after="0" w:line="14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overwhelming majority of new HVAC systems that we sell replace systems that likely operate below current minimum efficiency standards in the United States and may use more harmful refrigerants that have been, or are being, phased-out. As consumers replace HVAC systems with new, higher-efficiency systems, homeowners will consume less energy, save costs, and reduce their carbon footprint.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sale of high-efficiency systems has long been a focus of ours, and we have invested in tools and technology intended to capture an increasingly richer sales mix over time. In addition, regulatory mandates will periodically increase the required minimum SEER, thus providing a catalyst for greater sales of higher-efficiency systems.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We offer a broad variety of systems that operate above the minimum SEER standards, ranging from base-level efficiency to systems that exceed 20 SEER. Our sales of higher-efficiency residential HVAC systems (those above base-level efficiency) grew 18% organically in 2022, outpacing the overall growth rate of 13% for residential HVAC equipment in the United States. Based on estimates validated by independent sources, we averted an estimated 15.8 million metric tons of CO2e emissions from January 1, 2020 to December 31, 2022 through the sale of replacement residential HVAC systems at higher-efficiency standards – the equivalent of nearly 3.4 million passenger vehicles driven over the course of one year. More information, including sources and assumptions used to support our estimates, can be found at </w:t>
      </w:r>
      <w:r>
        <w:rPr>
          <w:rFonts w:ascii="Arial" w:cs="Arial" w:eastAsia="Arial" w:hAnsi="Arial"/>
          <w:sz w:val="17"/>
          <w:szCs w:val="17"/>
          <w:u w:val="single" w:color="auto"/>
          <w:color w:val="auto"/>
        </w:rPr>
        <w:t>www.watsco.com/environment</w:t>
      </w:r>
      <w:r>
        <w:rPr>
          <w:rFonts w:ascii="Arial" w:cs="Arial" w:eastAsia="Arial" w:hAnsi="Arial"/>
          <w:sz w:val="17"/>
          <w:szCs w:val="17"/>
          <w:color w:val="auto"/>
        </w:rPr>
        <w:t>. Information contained on, or available through, our website is not incorporated by reference in, or made a part of, this report.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Federal Tax Credits and State Incentives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Demand for higher-efficiency products, such as variable-speed systems and heat pumps, is expected to benefit from the passage of the U.S. Inflation Reduction Act of 2022 (the “IRA”) in August 2022. This legislation is intended, in part, to promote the replacement of existing systems in favor of high-efficiency heat pump systems that reduce greenhouse gas emissions, as compared to older systems, and thereby combat climate change. Programs under the IRA include enhanced tax credits for homeowners who install qualifying HVAC equipment and tax deductions for owners of commercial buildings that are upgraded to achieve defined energy savings. The IRA also sets aside $4.3 billion for state-administered consumer rebate programs designed to promote energy savings for low and medium-income households, including HVAC systems. Further details, including qualifying products, specific programs, and other regulatory requirements contemplated by the IRA are being determined and are expected to be launched during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Our website is at </w:t>
      </w:r>
      <w:r>
        <w:rPr>
          <w:rFonts w:ascii="Arial" w:cs="Arial" w:eastAsia="Arial" w:hAnsi="Arial"/>
          <w:sz w:val="17"/>
          <w:szCs w:val="17"/>
          <w:u w:val="single" w:color="auto"/>
          <w:color w:val="auto"/>
        </w:rPr>
        <w:t>www.watsco.com</w:t>
      </w:r>
      <w:r>
        <w:rPr>
          <w:rFonts w:ascii="Arial" w:cs="Arial" w:eastAsia="Arial" w:hAnsi="Arial"/>
          <w:sz w:val="17"/>
          <w:szCs w:val="17"/>
          <w:color w:val="auto"/>
        </w:rPr>
        <w:t xml:space="preserve">. Our investor relations website is located at </w:t>
      </w:r>
      <w:r>
        <w:rPr>
          <w:rFonts w:ascii="Arial" w:cs="Arial" w:eastAsia="Arial" w:hAnsi="Arial"/>
          <w:sz w:val="17"/>
          <w:szCs w:val="17"/>
          <w:u w:val="single" w:color="auto"/>
          <w:color w:val="auto"/>
        </w:rPr>
        <w:t>https://investors.watsco.com</w:t>
      </w:r>
      <w:r>
        <w:rPr>
          <w:rFonts w:ascii="Arial" w:cs="Arial" w:eastAsia="Arial" w:hAnsi="Arial"/>
          <w:sz w:val="17"/>
          <w:szCs w:val="17"/>
          <w:color w:val="auto"/>
        </w:rPr>
        <w:t>. We make available, free of charge, on our investor relations website under the heading “SEC Filings” our annual reports on Form 10-K, quarterly reports on Form 10-Q, current reports on Form 8-K, and any amendments to those reports filed with or furnished to the Securities and Exchange Commission (the “SEC”) pursuant to Section 13(a) or 15(d) of the Securities Exchange Act of 1934, as amended,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Supplier Concentration and Supply Chain Risks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Company’s top ten suppliers accounted for 84% of our purchases during 2022, including 60% from Carrier, and 8% from Rheem. Carrier provides a diverse variety of brands of HVAC systems including, Carrier, Bryant, Payne, Tempstar, Heil, Comfortmaker and Grandaire, along with complimentary replacement parts. Rheem provides Rheem-brand HVAC systems along with complimentary replacement parts. Given the significant concentration of our supply chain, particularly with Carrier and Rheem, any significant interruption by any of the key manufacturers or a termination of a relationship could temporarily disrupt the operations of certain of our subsidiaries. Additionally, our operations are materially dependent upon the continued market acceptance and quality of these manufacturers’ products and their ability to continue to manufacture products that are competitive and that comply with laws relating to environmental and efficiency standards. Our inability to obtain products from one or more of these manufacturers or a decline in market acceptance of these manufacturers’ products could have a material adverse effect on our results of operations, cash flows, and liquidity.</w:t>
      </w:r>
    </w:p>
    <w:p>
      <w:pPr>
        <w:spacing w:after="0" w:line="16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Many HVAC equipment and component manufacturers, including Carrier and Rheem, source component parts from China and/or assemble a significant number of products for residential and light-commercial applications from Mexico. If any restrictions, including overall trade relations, a potential increase in tariffs, are imposed related to such products sourced or assembled from Mexico and China, including as a result of amendments to existing trade agreements, and our product costs consequently increase, we would be required to raise our prices, which may result in cost inflation, the loss of customers, and harm to our business. In addition, COVID-19, which surfaced in Wuhan, China in December 2019, resulted in increased travel restrictions and extended shutdown of certain businesses in the region. The continuing impact of COVID-19 on our business will depend on future developments; however, closures in China and/or Mexico may disrupt the operations of certain of our suppliers, which could negatively impact our business.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maintain trade name and distribution agreements with Carrier and Rheem that provide us distribution rights on an exclusive basis in specified territories. Such agreements are not subject to a stated term or expiration date.</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also maintain other distribution agreements with various other suppliers, either on an exclusive or non-exclusive basis, for various terms ranging from one to ten years. Certain of the distribution agreements contain provisions that restrict or limit the sale of competitive products in the locations that sell such branded products. Other than where such location-level restrictions apply, we may distribute other manufacturers’ lines of air conditioning or heating equipment in other locations in the same territories.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Risks Inherent in Acquisitions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part of our strategy, we intend to pursue additional acquisitions of complementary businesses, including through joint ventures and investments in unconsolidated entities. If we complete future acquisitions, including investments in unconsolidated entities, or enter into new joint ventures, we may be required to incur or assume additional debt and/or issue additional shares of our common stock as consideration, which will dilute our existing shareholders’ ownership interest and may affect our results of operations. Growth through acquisitions involves a number of risks, including, but not limited to, the following:</w:t>
      </w:r>
    </w:p>
    <w:p>
      <w:pPr>
        <w:spacing w:after="0" w:line="93"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and consummate transactions with complementary acquisition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operation and/or integration of acquired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efficiency and effectiveness of the acquired companies internal control environment;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other daily functions;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 by us of equity securities that would dilute ownership of our existing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incurrence and/or assumption of significant debt and contingent liabilities;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loss of key employees and/or customer relationships of the acquired companies.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acquired companies and investments made in unconsolidated entities may have liabilities that we failed or were unable to discover while performing due diligence investigations. We cannot assure you that the indemnification, if any, granted to us by sellers of acquired companies or by joint venture partners will be sufficient in amount, scope, or duration to offset the possible liabilities associated with businesses or properties that we assume upon consummation of an acquisition or joint venture. Any such liabilities, individually or in the aggregate, could have a material adverse effect on our business.</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Failure to successfully manage the operational challenges and risks associated with, or resulting from, acquisitions could adversely affect our results of operations, cash flows, and liquidity.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Competition</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operate in highly competitive environments. We compete with other distributors and several air conditioning and heating equipment manufacturers that distribute a significant portion of their products through their own distribution organizations in certain markets. Competition within any given geographic market is based upon product availability, customer service, price, and quality. Competitive pressures or other factors could cause our products or services to lose market acceptance or result in significant price erosion, all of which would have a material adverse effect on our results of operations, cash flows, and liquidity.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Foreign Currency Exchange Rate Fluctuations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functional currency of our operations in Canada is the Canadian dollar, and the functional currency of our operations in Mexico is the U.S. dollar because the majority of our Mexican transactions are denominated in U.S. dollars. Foreign currency exchange rates and fluctuations may have an impact on transactions denominated in Canadian dollars and Mexican Pesos, and, therefore, could adversely affect our financial performance. Although we use foreign currency forward contracts to mitigate the impact of currency exchange rate movements, we do not currently hold any derivative contracts that hedge our foreign currency translational exposure.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Seasonality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Sales of residential central air conditioners, heating equipment, and parts and supplies are seasonal, resulting in fluctuations in our revenue from quarter to quarter. Furthermore, profitability can be impacted favorably or unfavorably based on the severity or mildness of weather patterns during Summer or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is fairly evenly distributed throughout the year and depends largely on housing completions and related weather and economic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Dependence on Key Personnel</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Much of our success has depended on the skills and experience of senior management personnel. The loss of any of our executive officers or other key senior management personnel could harm our business. We must continuously recruit, retain, and motivate management and other employees to both maintain our current business and to execute our strategic initiatives. Our success has also depended on the contributions and abilities of our store employees upon whom we rely on to give customers a superior in-store experience. Accordingly, our performance depends on our ability to recruit and retain high quality employees to work in and manage our stores. If we are unable to adequately recruit, retain, and motivate employees our projected growth and expansion, and our business and financial performance may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Decline in Economic Conditions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rely predominantly on the credit markets and, to a lesser extent, on the capital markets to meet our financial commitments and short-term liquidity needs if internal funds are not available from our operations. Access to funds under our line of credit is dependent on the ability of the syndicate banks to meet their respective funding commitments. Disruptions in the credit and capital markets could adversely affect our ability to draw on our revolving credit agreement and may also adversely affect the determination of interest rates, particularly rates based on LIBOR, which is one of the base rates under our revolving credit agreement.</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March 5, 2021, the United Kingdom Financial Conduct Authority, which regulates LIBOR, confirmed that LIBOR will either cease to be provided by any administrator or will no longer be representative after June 30, 2023 for USD LIBOR reference rates. The U.S. Federal Reserve has selected the Secured Overnight Funding Rate (“SOFR”) as the preferred alternate rate to LIBOR. Our revolving credit agreement provides that it may be amended to replace LIBOR with an alternate benchmark rate including SOFR. SOFR is calculated differently from LIBOR and has inherent differences, including SOFR’s limited historical data and that LIBOR is an unsecured lending rate while SOFR is a secured lending rate, which could give rise to uncertainties and volatility in the benchmark rates. While we continue to evaluate the potential impact of a transition to SOFR, these changes could result in interest obligations that are more than or do not otherwise correlate exactly over time with the payments that would have been made on such debt if LIBOR was available in its current form, including a potential increase in our overall interest expense.</w:t>
      </w:r>
    </w:p>
    <w:p>
      <w:pPr>
        <w:spacing w:after="0" w:line="17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Additionally, disruptions in the credit and capital markets could also result in increased borrowing costs and/or reduced borrowing capacity under our revolving credit agreement. Any long-term disruption could require us to take measures to conserve cash until the markets stabilize, or until alternative credit arrangements or other funding for our business needs can be arranged. Such measures could include reducing or eliminating dividend payments, deferring capital expenditures, and reducing or eliminating other discretionary uses of cash.</w:t>
      </w:r>
    </w:p>
    <w:p>
      <w:pPr>
        <w:spacing w:after="0" w:line="17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A decline in economic conditions and lack of availability of business and consumer credit could have an adverse effect on our business and results of operations. Any capital or credit market disruption could cause broader economic downturns, which may lead to reduced demand for our products and an increased incidence of customers’ inability to pay their accounts. Further, bankruptcies or similar events by customers may cause us to incur increased levels of bad debt expense. Also, our suppliers may be negatively impacted by deteriorating economic conditions, causing disruption or delay of product availability. These events would adversely impact our results of operations, cash flows, and financial position. Additionally, if the conditions of the capital and credit markets adversely affect the financial institutions that have committed to extend us credit, they may be unable to fund borrowings under such commitments, which could have an adverse impact on our financial condition, liquidity, and our ability to borrow funds for working capital, acquisitions, capital expenditures, and other corporate purposes.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COVID-19 Pandemic</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COVID-19 pandemic has had, and could continue to have widespread, rapidly-evolving and unpredictable impacts on global financial markets and business practices. As conditions fluctuate, governments have responded by adjusting their restrictions and guidelines accordingly. In light of the periodic resurgence in cases and the spread of variant strains of the virus, there remains uncertainty concerning the nature and extent of the continuing impact of the COVID-19 pandemic. While the COVID-19 pandemic has subsided with the normalization of living with COVID-19 following the increase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accessibility to COVID-19 vaccines and antiviral treatments, the full impact of the COVID-19 pandemic on our business, financial condition, and results of operations is uncertain and will continue to depend on future developments, such as the ultimate duration and scope of the pandemic, its impact on our employees, customers and suppliers, potential subsequent waves of COVID-19 infection or potential new variants, the effectiveness and adoption of COVID-19 vaccines and therapeutics and the broader implications on the macro-economic environment. We intend to continue to actively monitor the evolution of the pandemic and may take further actions that alter our business operations as may be required by federal, state or local authorities or that we determine are in the best interests of our employees, customers, suppliers and shareholders.</w:t>
      </w:r>
    </w:p>
    <w:p>
      <w:pPr>
        <w:spacing w:after="0" w:line="178"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COVID-19 related factors and economic and marketplace dynamics that have impacted us, or may negatively impact, sales, gross margin and other results of operations due to a future resurgence of the pandemic include, but are not limited to: limitations on the ability of our suppliers to obtain necessary raw materials and parts to manufacture, or procure from manufacturers, the products we sell, or to meet delivery requirements and commitments; transportation delays and other logistical challenges resulting in longer lead times and constrained availability of HVAC/R products; limitations on the ability of our employees to perform their work due to illness or other disruptions caused by the pandemic, including local, state, or federal orders requiring employees to remain at home; labor shortages or an increase in the cost of labor; limitations on the ability of carriers to deliver our products to customers; limitations on the ability of our customers to obtain financing for significant purchases and operations, conduct their businesses, and purchase our products; and limitations on the ability of our customers to pay us on a timely basis.</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we cannot predict the duration or ultimate scope of any future resurgence of the COVID-19 pandemic, the potential negative financial impact to our results of operations cannot be reasonably estimated but could be material and last for an extended period of time.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Cybersecurity Risks</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addition to the disruptions that may occur from interruptions in our information technology systems, cybersecurity threats and sophisticated and targeted cyberattacks pose a risk to our information technology systems. We have established security policies, processes and defenses designed to help identify and protect against intentional and unintentional misappropriation or corruption of our information technology systems and information and disruption of our operations. Despite these efforts, our information technology systems may be damaged, disrupted or shut down due to attacks by hackers and other persons obtaining unauthorized access, malicious software, ransomware, computer viruses, undetected intrusion, hardware failures or other events, and in these circumstances our disaster recovery plans may be ineffective or inadequate. These breaches or intrusions could lead to business interruption, exposure of proprietary or confidential information, data corruption, damage to our reputation, exposure to legal and regulatory proceedings and other costs. Such events could have a material adverse impact on our financial condition, results of operations and cash flows. In addition, we could be adversely affected if any of our significant customers or suppliers experiences any similar events that disrupt their business operations or damage their reputation.</w:t>
      </w:r>
    </w:p>
    <w:p>
      <w:pPr>
        <w:spacing w:after="0" w:line="18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Failure to successfully manage the operational challenges and risks associated with, or resulting from, upgrades and conversions to newer versions of our information technology systems core to our operations could adversely affect our results of operations, cash flows, and liquidity.</w:t>
      </w:r>
    </w:p>
    <w:p>
      <w:pPr>
        <w:spacing w:after="0" w:line="14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maintain change management processes, monitoring practices, and protections of our information technology to reduce these risks and test our systems on an ongoing basis for potential threats. The Audit Committee is briefed on information security matters at least once a year. We carry cybersecurity insurance to help mitigate the financial exposure and related notification procedures in the event of intentional intrusion. There can be no assurance, however, that our efforts will prevent the risk of a security breach of our databases or systems that could adversely affect our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International Risk</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Our international sales and operations, as well as sourcing of products from suppliers with international operations, are subject to various risks associated with changes in local laws, regulations, and policies, including those related to tariffs, trade restrictions and trade agreements, investments, taxation, capital controls, employment regulations, different liability standards, and limitations on the repatriation of funds due to foreign currency controls. Our international sales and operations, as well as sourcing of products from suppliers with international operations, are also sensitive to changes in foreign national priorities, including government budgets, as well as political and economic instability. In addition, closures in China due to their zero-COVID policy may disrupt the operations of certain of our suppliers, which could negatively impact our business. Unfavorable changes in any of the foregoing could adversely affect our results of operations or could cause a disruption in our supply chain for products sourced internationally. Additionally, failure to comply with the United States Foreign Corrupt Practices Act could subject us to, among other things, penalties and legal expenses that could harm our reputation and have a material adverse effect on our business, financial condition, and results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Class B Common Stock and Insider Ownership</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As of December 31, 2022, our directors and executive officers and entities affiliated with them owned: (i) Common stock representing 1% of the outstanding shares of Common stock and (ii) Class B common stock representing 88% of the outstanding shares of Class B common stock. These interests represent 55% of the aggregate combined voting power (including 53% beneficially owned by Albert H. Nahmad, Chairman and Chief Executive Officer (“CEO”), Aaron J. Nahmad, President, and Valerie Schimel, Director, who is the daughter of our Chairman and CEO, through shares owned by them and shares held by affiliated limited partnerships, various family trusts, and a charitable organization). Accordingly, our directors and executive officers collectively have the voting power to elect six members of our nine-person Board of Directors.</w:t>
      </w:r>
    </w:p>
    <w:p>
      <w:pPr>
        <w:spacing w:after="0" w:line="178"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Our Class B common stock is substantially identical to our Common stock except: (i) Common stock is entitled to one vote on all matters submitted to a vote of our shareholders, and each share of Class B common stock is entitled to ten votes; (ii) shareholders of Common stock are entitled to elect 25% of our Board of Directors (rounded up to the nearest whole number), and Class B shareholders are entitled to elect the balance of the Board of Directors;</w:t>
      </w:r>
    </w:p>
    <w:p>
      <w:pPr>
        <w:spacing w:after="0" w:line="2" w:lineRule="exact"/>
        <w:rPr>
          <w:sz w:val="20"/>
          <w:szCs w:val="20"/>
          <w:color w:val="auto"/>
        </w:rPr>
      </w:pPr>
    </w:p>
    <w:p>
      <w:pPr>
        <w:ind w:left="120" w:right="180" w:hanging="4"/>
        <w:spacing w:after="0" w:line="255"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dividends may be paid on Common stock without paying a cash dividend on Class B common stock, and no cash dividend may be paid on Class B common stock unless at least an equal cash dividend is paid on Common stock; and (iv) Class B common stock is convertible at any time into Common stock on a one-for-one basis at the option of the shareholder.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Future Sales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are not restricted from issuing additional shares of our Common stock or Class B common stock (which we refer to together as common stock), including securities that are convertible into or exchangeable for, or that represent the right to receive, our common stock or any substantially similar securities in the future. We may issue shares of our common stock or other securities in one or more registered or unregistered offerings, and we may also issue our securities in connection with investments or acquisitions. The number of shares of our common stock issued in connection with any of the foregoing may result in dilution to holders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Volatility</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common stock in spite of our operating performance. The trading price of our common stock may be adversely affected due to a number of factors, most of which we cannot predict or control, such as the following:</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decision by the Board of Directors to reduce or eliminate cash dividends on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recommendations or earnings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in our industry or in the economy as a whole;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Trading Liquidity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trading market for our common stock is limited, and there can be no assurance that a more liquid trading market for our common stock will develop. There can be no assurance as to the liquidity of any market for our common stock, the ability of the holders of our common stock to sell any of their securities and the price at which the holders of our common stock will be able to sell such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Payment of Dividends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amount of any future dividends that we will pay, if any, will depend upon a number of factors. Future dividends will be declared and paid at the sole discretion of the Board of Directors and will depend upon such factors as cash flow generated by operations, profitability, financial condition, cash requirements, future prospects, and other factors deemed relevant by our Board of Directors. The right of our Board of Directors to declare dividends, however, is subject to the availability of sufficient funds under Florida law to pay dividends. In addition, our ability to pay dividends depends on certain restrictions in our credit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Securities Analyst Research and Reports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trading markets for our common stock rely in part on the research and reports that industry or financial analysts publish about us or our business or industry. If one or more of the analysts who cover us downgrade our stock or our industry, or the stock of Carrier or any of our competitors, publish negative or unfavorable research about our business, the price of our stock could decline. If one or more of these analysts cease coverage of us or fail to publish reports on us regularly, we could lose visibility in the market, which in turn could cause our stock price or trading volume to decline.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Goodwill, Intangibles and Long-Lived Assets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At December 31, 2022, goodwill, intangibles, and long-lived assets represented approximately 34% of our total assets. The recoverability of goodwill, indefinite lived intangibles, and long-lived assets is evaluated at least annually and when events or changes in circumstances indicate that the carrying amounts may not be recoverable. The identification and measurement of goodwill impairment involves the estimation of the fair value of our reporting unit and contains uncertainty because management must use judgment in determining appropriate assumptions to be used in the measurement of fair value. The estimates of fair value of our reporting unit, indefinite lived intangibles, and long-lived assets are based on the best information available as of the date of the assessment and incorporates management’s assumptions about expected future cash flows and contemplates other valuation techniques. Future cash flows can be affected by changes in the industry, a declining economic environment, or market conditions. We cannot assure you that we will not suffer material impairments to goodwill, intangibles, or long-lived assets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Risks Related to Loss Contingencies</w:t>
      </w:r>
    </w:p>
    <w:p>
      <w:pPr>
        <w:spacing w:after="0" w:line="117"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We carry general liability, comprehensive property damage, workers’ compensation, health benefits, cybersecurity, and other insurance coverage that management considers adequate for the protection of its assets and operations at reasonable premiums. There can be no assurance that the coverage limits and related premiums of such policies will be adequate to cover claims, losses and expenses for lawsuits which have been, or may be, brought against us. A loss in excess of insurance coverage could have a material adverse effect on our financial position and/or profitability. Certain self-insurance risks for casualty insurance programs and health benefits are retained and reserves are established based on claims filed and estimates of claims incurred but not yet reported. Assurance cannot be provided that actual claims will not exceed present estimates. Exposure to catastrophic losses has been limited by maintaining excess and aggregate liability coverage and implementing stop-loss control programs. However, more frequent catastrophic weather events may impact the availability and cost of property and casualty insurance.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Risks Related to Natural Disasters, Epidemics, or Other Unexpected Events</w:t>
      </w:r>
    </w:p>
    <w:p>
      <w:pPr>
        <w:spacing w:after="0" w:line="11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The occurrence of one or more natural disasters, including those linked to climate change, power outages, or other unexpected events, including hurricanes, fires, earthquakes, volcanic eruptions, tsunamis, floods and other forms of severe weather, health epidemics, pandemics (including COVID-19) or other contagious outbreaks, conflicts, wars or terrorist acts, in the U.S. or in other countries in which we or our suppliers or customers operate could adversely affect our operations and financial performance. Natural disasters, power outages or other unexpected events could damage or close one or more of our locations or disrupt our operations temporarily or long-term, such as by causing business interruptions or by affecting the availability products we sell. Existing insurance arrangements may not cover all of the costs or lost cash flows that may arise from such events. The occurrence of any of these events could also increase our insurance and other operating costs or impact our sales.</w:t>
      </w:r>
    </w:p>
    <w:p>
      <w:pPr>
        <w:spacing w:after="0" w:line="31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main properties include warehousing and distribution facilities, trucks, and administrative office space.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Warehousing and Distribution Facilities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At December 31, 2022, we operated 673 warehousing and distribution facilities across 42 U.S. states, Canada, Mexico, and Puerto Rico, having an aggregate of approximately 15.9 million square feet of space, of which approximately 15.7 million square feet is leased. The majority of these leases are for terms of three to five years. We believe that our facilities are sufficient to meet our present operating needs.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Trucks</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At December 31, 2022, we operated 832 ground transport vehicles, including delivery and pick-up trucks, vans, and tractors. Of this number, 554 trucks were leased and the others were owned. We believe that the present size of our truck fleet is adequate to support our operations.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Administrative Facilities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Senior management and support staff are located at various administrative offices in approximately 0.3 million square feet of space.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Information with respect to this item may be found in Note 18 to our audited consolidated financial statements included in this Annual Report on Form 10-K under the caption “Litigation, Claims, and Assessments,” which information is incorporated by reference in this Item 3 of Part I of this Annual Report on Form 10-K.</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0" w:hanging="1092"/>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Common stock is listed on the New York Stock Exchange under the ticker symbol WSO, and our Class B common stock is listed on the New York Stock Exchange under the ticker symbol WSOB.</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February 21, 2023, there were 260 registered holders of our Common stock and 152 registered holders of our Class B common stock.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Return Performance</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following graph compares the cumulative five-year total shareholder return attained by holders of our Common stock and Class B common stock relative to the cumulative total returns of the Russell 2000 index, the S&amp;P MidCap 400 index, the S&amp;P 500 index, and the S&amp;P 400 Industrials index. Given our position as the largest distributor of HVAC/R equipment, parts and supplies in North America, our unique, sole line of business, the nature of our customers (air conditioning and heating contractors), and the products and markets we serve, we cannot reasonably identify an appropriate peer group; therefore, we have included in the graph below the performance of certain major market indices, which contain companies with market capitalizations similar to our own. We have determined to add the S&amp;P 400 Industrials Index in the graph below because it more closely relates to the industry in which we operate. The graph tracks the performance of a $100 investment in our common stock and in each index (with the reinvestment of all dividends) from December 31, 2017 to December 31, 2022.</w:t>
      </w:r>
    </w:p>
    <w:p>
      <w:pPr>
        <w:spacing w:after="0" w:line="28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i w:val="1"/>
          <w:iCs w:val="1"/>
          <w:color w:val="auto"/>
        </w:rPr>
        <w:t>The performance graph shall not be deemed incorporated by reference by any general statement incorporating by reference this annual report into any filing under the Securities Act of 1933 or the Securities Exchange Act of 1934, as amended, except to the extent we specifically incorporate this information by reference, and shall not otherwise be deemed filed under such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142875</wp:posOffset>
            </wp:positionV>
            <wp:extent cx="4568825" cy="4397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6882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12/31/17</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1"/>
              </w:rPr>
              <w:t>12/31/18</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12/31/19</w:t>
            </w:r>
          </w:p>
        </w:tc>
        <w:tc>
          <w:tcPr>
            <w:tcW w:w="1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1"/>
              </w:rPr>
              <w:t>12/31/20</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12/31/21</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12/31/22</w:t>
            </w:r>
          </w:p>
        </w:tc>
        <w:tc>
          <w:tcPr>
            <w:tcW w:w="60" w:type="dxa"/>
            <w:vAlign w:val="bottom"/>
          </w:tcPr>
          <w:p>
            <w:pPr>
              <w:spacing w:after="0"/>
              <w:rPr>
                <w:sz w:val="14"/>
                <w:szCs w:val="14"/>
                <w:color w:val="auto"/>
              </w:rPr>
            </w:pPr>
          </w:p>
        </w:tc>
      </w:tr>
      <w:tr>
        <w:trPr>
          <w:trHeight w:val="209"/>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Watsco, Inc.</w:t>
            </w:r>
          </w:p>
        </w:tc>
        <w:tc>
          <w:tcPr>
            <w:tcW w:w="3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148.79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Watsco, Inc. Class B</w:t>
            </w:r>
          </w:p>
        </w:tc>
        <w:tc>
          <w:tcPr>
            <w:tcW w:w="400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82.60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115.56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154.05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208.80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177.20</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4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111.70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134.00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153.85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122.41</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S&amp;P MidCap 400 Index</w:t>
            </w:r>
          </w:p>
        </w:tc>
        <w:tc>
          <w:tcPr>
            <w:tcW w:w="400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88.92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112.21</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127.54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159.12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138.34</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2"/>
              </w:rPr>
              <w:t>S&amp;P 500</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Index</w:t>
            </w:r>
          </w:p>
        </w:tc>
        <w:tc>
          <w:tcPr>
            <w:tcW w:w="4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125.72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148.85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191.58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156.89</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w w:val="92"/>
              </w:rPr>
              <w:t>S&amp;P 400</w:t>
            </w:r>
          </w:p>
        </w:tc>
        <w:tc>
          <w:tcPr>
            <w:tcW w:w="2900" w:type="dxa"/>
            <w:vAlign w:val="bottom"/>
          </w:tcPr>
          <w:p>
            <w:pPr>
              <w:ind w:left="20"/>
              <w:spacing w:after="0"/>
              <w:rPr>
                <w:sz w:val="20"/>
                <w:szCs w:val="20"/>
                <w:color w:val="auto"/>
              </w:rPr>
            </w:pPr>
            <w:r>
              <w:rPr>
                <w:rFonts w:ascii="Arial" w:cs="Arial" w:eastAsia="Arial" w:hAnsi="Arial"/>
                <w:sz w:val="18"/>
                <w:szCs w:val="18"/>
                <w:color w:val="auto"/>
              </w:rPr>
              <w:t>Industrials</w:t>
            </w:r>
          </w:p>
        </w:tc>
        <w:tc>
          <w:tcPr>
            <w:tcW w:w="400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85.11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113.67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132.41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170.07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150.52</w:t>
            </w:r>
          </w:p>
        </w:tc>
      </w:tr>
      <w:tr>
        <w:trPr>
          <w:trHeight w:val="350"/>
        </w:trPr>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tcPr>
          <w:p>
            <w:pPr>
              <w:jc w:val="right"/>
              <w:ind w:right="1173"/>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6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6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that May Yet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Total Number of</w:t>
            </w:r>
          </w:p>
        </w:tc>
        <w:tc>
          <w:tcPr>
            <w:tcW w:w="620" w:type="dxa"/>
            <w:vAlign w:val="bottom"/>
          </w:tcPr>
          <w:p>
            <w:pPr>
              <w:spacing w:after="0"/>
              <w:rPr>
                <w:sz w:val="12"/>
                <w:szCs w:val="12"/>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6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520" w:type="dxa"/>
            <w:vAlign w:val="bottom"/>
            <w:gridSpan w:val="2"/>
            <w:vMerge w:val="continue"/>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Shares Purchased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0"/>
                <w:szCs w:val="10"/>
                <w:b w:val="1"/>
                <w:bCs w:val="1"/>
                <w:color w:val="auto"/>
                <w:w w:val="94"/>
              </w:rPr>
              <w:t>(1)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October 1, 2022 to October 31, 2022(1)</w:t>
            </w:r>
          </w:p>
        </w:tc>
        <w:tc>
          <w:tcPr>
            <w:tcW w:w="6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311,408</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271.73</w:t>
            </w:r>
          </w:p>
        </w:tc>
        <w:tc>
          <w:tcPr>
            <w:tcW w:w="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November 1, 2022 to November 30,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1, 2022 to December 31,</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311,408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271.73</w:t>
            </w:r>
          </w:p>
        </w:tc>
        <w:tc>
          <w:tcPr>
            <w:tcW w:w="64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15, 2022, 975,622 shares of Class B restricted stock previously granted to our CEO during the period from 1997 to 2011 under various performance-based incentive plans vested. The vested shares had a value of $265.1 million based on the closing price of our Class B common stock as of that date. This vested value constitutes taxable compensation to our CEO for income tax purposes and was subject to statutory withholding. Upon vesting, we funded $104.3 million in statutory withholding, which, in turn, was satisfied by the CEO through a cash payment to us of $19.7 million and by the surrendering of 311,408 shares of Class B common stock, which we retired.</w:t>
      </w:r>
    </w:p>
    <w:p>
      <w:pPr>
        <w:spacing w:after="0" w:line="176"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In September 1999, our Board of Directors authorized the repurchase, at management’s discretion, of up to 7,500,000 shares of common stock in the open market or via private transactions. No shares were repurchased under this plan during 2022, 2021 or 2020. In aggregate, 6,370,913 shares of Common and Class B common stock have been repurchased at a cost of $114.4 million since the inception of this plan. At December 31, 2022, there were 1,129,087 shares remaining authorized for repurchase under this plan. Shares were last repurchased by the Company under this plan in 2008.</w:t>
      </w:r>
    </w:p>
    <w:p>
      <w:pPr>
        <w:spacing w:after="0" w:line="30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37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2022 Annual Report contains “Management’s Discussion and Analysis of Financial Condition and Results of Operations,” which section is incorporated herein by reference.</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2022 Annual Report contains “Quantitative and Qualitative Disclosures about Market Risk,” which section is incorporated herein by reference.</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Our 2022 and 2021 Consolidated Balance Sheets and other consolidated financial statements for the years ended December 31, 2022, 2021, and 2020, together with the report thereon of KPMG LLP dated February 24, 2023, included in our 2022 Annual Report are incorporated herein by reference.</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Securities Exchange Act of 1934, as amended (the “Exchange Act”)) that are, among other things, designed to ensure that information required to be disclosed by us under the Exchange Act is accumulated and communicated to management, including our Chief Executive Officer (“CEO”), Executive Vice President (“EVP”), and Chief Financial Officer (“CFO”), to allow for timely decisions regarding required disclosure and appropriate SEC filings.</w:t>
      </w:r>
    </w:p>
    <w:p>
      <w:pPr>
        <w:spacing w:after="0" w:line="17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management, with the participation of our CEO, EVP and CFO, evaluated the effectiveness of our disclosure controls and procedures as of the end of the period covered by this report, and, based on that evaluation, our CEO, EVP and CFO concluded that our disclosure controls and procedures were effective, at a reasonable assurance level, at and as of such date.</w:t>
      </w:r>
    </w:p>
    <w:p>
      <w:pPr>
        <w:sectPr>
          <w:pgSz w:w="11900" w:h="16838" w:orient="portrait"/>
          <w:cols w:equalWidth="0" w:num="1">
            <w:col w:w="11140"/>
          </w:cols>
          <w:pgMar w:left="320" w:top="486"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86"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Our 2022 Annual Report contains “Management’s Report on Internal Control over Financial Reporting” and the report thereon of KPMG LLP dated February 24, 2023, and each is incorporated herein by reference</w:t>
      </w:r>
      <w:r>
        <w:rPr>
          <w:rFonts w:ascii="Arial" w:cs="Arial" w:eastAsia="Arial" w:hAnsi="Arial"/>
          <w:sz w:val="18"/>
          <w:szCs w:val="18"/>
          <w:i w:val="1"/>
          <w:iCs w:val="1"/>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continuously seek to improve the efficiency and effectiveness of our internal controls. This results in refinements to processes throughout the Company. However, there were no changes in internal controls over financial reporting (as such term is defined in Rules 13a-15(f) and 15d-15(f) under the Exchange Act) during the quarter ended December 31, 2022, that have materially affected, or are reasonably likely to materially affect, our internal control over financial reporting.</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right="240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part of Form 10-K, which includes Items 10 through 14, is omitted because we will file definitive proxy material pursuant to Regulation 14A not more than 120 days after the close of our most recently ended fiscal year, which proxy material will include the information required by Items 10 through 14 and is incorporated herein by reference.</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Our consolidated financial statements are incorporated by reference from our 2022 Annual Report.</w:t>
      </w:r>
    </w:p>
    <w:p>
      <w:pPr>
        <w:spacing w:after="0" w:line="117" w:lineRule="exact"/>
        <w:rPr>
          <w:sz w:val="20"/>
          <w:szCs w:val="20"/>
          <w:color w:val="auto"/>
        </w:rPr>
      </w:pPr>
    </w:p>
    <w:p>
      <w:pPr>
        <w:ind w:left="660" w:right="720" w:hanging="30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The schedules are omitted because they are not applicable or the required information is shown in the consolidated financial statements or notes thereto.</w:t>
      </w:r>
    </w:p>
    <w:p>
      <w:pPr>
        <w:spacing w:after="0" w:line="62" w:lineRule="exact"/>
        <w:rPr>
          <w:rFonts w:ascii="Arial" w:cs="Arial" w:eastAsia="Arial" w:hAnsi="Arial"/>
          <w:sz w:val="18"/>
          <w:szCs w:val="18"/>
          <w:color w:val="auto"/>
        </w:rPr>
      </w:pPr>
    </w:p>
    <w:p>
      <w:pPr>
        <w:ind w:left="660" w:right="160" w:hanging="30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submitted with this Annual Report on Form 10-K or, where indicated, incorporated by reference to other filings.</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80" w:type="dxa"/>
            <w:vAlign w:val="bottom"/>
            <w:gridSpan w:val="8"/>
          </w:tcPr>
          <w:p>
            <w:pPr>
              <w:ind w:left="122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9560" w:type="dxa"/>
            <w:vAlign w:val="bottom"/>
            <w:tcBorders>
              <w:bottom w:val="single" w:sz="8" w:color="0000EE"/>
            </w:tcBorders>
            <w:gridSpan w:val="5"/>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Composite Articles of Incorporation of Watsco, Inc. (filed as Exhibit 3.1 to the Quarterly Report on Form 10-Q for the quarter ended</w:t>
              </w:r>
            </w:hyperlink>
          </w:p>
        </w:tc>
        <w:tc>
          <w:tcPr>
            <w:tcW w:w="36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June 30, 2012 and incorporated herein by reference).</w:t>
              </w:r>
            </w:hyperlink>
          </w:p>
        </w:tc>
      </w:tr>
      <w:tr>
        <w:trPr>
          <w:trHeight w:val="20"/>
        </w:trPr>
        <w:tc>
          <w:tcPr>
            <w:tcW w:w="9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9920" w:type="dxa"/>
            <w:vAlign w:val="bottom"/>
            <w:gridSpan w:val="9"/>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Watsco, Inc. Second Amended and Restated Bylaws effective August 1, 2016 (filed as Exhibit 3.1 to the Current Report on Form 8-K on</w:t>
              </w:r>
            </w:hyperlink>
          </w:p>
        </w:tc>
      </w:tr>
      <w:tr>
        <w:trPr>
          <w:trHeight w:val="196"/>
        </w:trPr>
        <w:tc>
          <w:tcPr>
            <w:tcW w:w="9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August 5, 2016 and incorporated herein by reference).</w:t>
              </w:r>
            </w:hyperlink>
          </w:p>
        </w:tc>
        <w:tc>
          <w:tcPr>
            <w:tcW w:w="8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9920" w:type="dxa"/>
            <w:vAlign w:val="bottom"/>
            <w:gridSpan w:val="9"/>
          </w:tcPr>
          <w:p>
            <w:pPr>
              <w:spacing w:after="0"/>
              <w:rPr>
                <w:sz w:val="20"/>
                <w:szCs w:val="20"/>
                <w:color w:val="auto"/>
              </w:rPr>
            </w:pPr>
            <w:r>
              <w:rPr>
                <w:rFonts w:ascii="Arial" w:cs="Arial" w:eastAsia="Arial" w:hAnsi="Arial"/>
                <w:sz w:val="18"/>
                <w:szCs w:val="18"/>
                <w:color w:val="auto"/>
                <w:w w:val="91"/>
              </w:rPr>
              <w:t>Specimen form of Class B Common Stock Certificate (filed as Exhibit 4.6 to the Registration Statement on Form S-1 (No. 33-56646) and</w:t>
            </w:r>
          </w:p>
        </w:tc>
      </w:tr>
      <w:tr>
        <w:trPr>
          <w:trHeight w:val="230"/>
        </w:trPr>
        <w:tc>
          <w:tcPr>
            <w:tcW w:w="94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rPr>
              <w:t>incorporated herein by reference). (P)</w:t>
            </w:r>
          </w:p>
        </w:tc>
      </w:tr>
      <w:tr>
        <w:trPr>
          <w:trHeight w:val="310"/>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9920" w:type="dxa"/>
            <w:vAlign w:val="bottom"/>
            <w:gridSpan w:val="9"/>
          </w:tcPr>
          <w:p>
            <w:pPr>
              <w:spacing w:after="0"/>
              <w:rPr>
                <w:sz w:val="20"/>
                <w:szCs w:val="20"/>
                <w:color w:val="auto"/>
              </w:rPr>
            </w:pPr>
            <w:r>
              <w:rPr>
                <w:rFonts w:ascii="Arial" w:cs="Arial" w:eastAsia="Arial" w:hAnsi="Arial"/>
                <w:sz w:val="18"/>
                <w:szCs w:val="18"/>
                <w:color w:val="auto"/>
                <w:w w:val="99"/>
              </w:rPr>
              <w:t>Specimen form of Common Stock Certificate (filed as Exhibit 4.4 to the Annual Report on Form 10-K for the fiscal year ended</w:t>
            </w:r>
          </w:p>
        </w:tc>
      </w:tr>
      <w:tr>
        <w:trPr>
          <w:trHeight w:val="230"/>
        </w:trPr>
        <w:tc>
          <w:tcPr>
            <w:tcW w:w="94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rPr>
              <w:t>December 31, 1994 and incorporated herein by reference). (P)</w:t>
            </w:r>
          </w:p>
        </w:tc>
      </w:tr>
      <w:tr>
        <w:trPr>
          <w:trHeight w:val="284"/>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9920" w:type="dxa"/>
            <w:vAlign w:val="bottom"/>
            <w:gridSpan w:val="9"/>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Description of Capital Stock (filed as Exhibit 4.3 to the Annual Report on Form 10-K for the fiscal year ended December 31, 2019 and</w:t>
              </w:r>
            </w:hyperlink>
          </w:p>
        </w:tc>
      </w:tr>
      <w:tr>
        <w:trPr>
          <w:trHeight w:val="196"/>
        </w:trPr>
        <w:tc>
          <w:tcPr>
            <w:tcW w:w="940" w:type="dxa"/>
            <w:vAlign w:val="bottom"/>
          </w:tcPr>
          <w:p>
            <w:pPr>
              <w:spacing w:after="0"/>
              <w:rPr>
                <w:sz w:val="17"/>
                <w:szCs w:val="17"/>
                <w:color w:val="auto"/>
              </w:rPr>
            </w:pPr>
          </w:p>
        </w:tc>
        <w:tc>
          <w:tcPr>
            <w:tcW w:w="9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incorporated herein by reference).</w:t>
              </w:r>
            </w:hyperlink>
          </w:p>
        </w:tc>
        <w:tc>
          <w:tcPr>
            <w:tcW w:w="22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10.1(a)</w:t>
            </w:r>
          </w:p>
        </w:tc>
        <w:tc>
          <w:tcPr>
            <w:tcW w:w="9920" w:type="dxa"/>
            <w:vAlign w:val="bottom"/>
            <w:gridSpan w:val="9"/>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Employment Agreement and Incentive Plan dated January 31, 1996 by and between Watsco, Inc. and Albert H. Nahmad (filed as Exhibit</w:t>
              </w:r>
            </w:hyperlink>
          </w:p>
        </w:tc>
      </w:tr>
      <w:tr>
        <w:trPr>
          <w:trHeight w:val="196"/>
        </w:trPr>
        <w:tc>
          <w:tcPr>
            <w:tcW w:w="940" w:type="dxa"/>
            <w:vAlign w:val="bottom"/>
          </w:tcPr>
          <w:p>
            <w:pPr>
              <w:spacing w:after="0"/>
              <w:rPr>
                <w:sz w:val="17"/>
                <w:szCs w:val="17"/>
                <w:color w:val="auto"/>
              </w:rPr>
            </w:pPr>
          </w:p>
        </w:tc>
        <w:tc>
          <w:tcPr>
            <w:tcW w:w="9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10.</w:t>
              </w:r>
              <w:r>
                <w:rPr>
                  <w:rFonts w:ascii="Arial" w:cs="Arial" w:eastAsia="Arial" w:hAnsi="Arial"/>
                  <w:sz w:val="18"/>
                  <w:szCs w:val="18"/>
                  <w:u w:val="single" w:color="auto"/>
                  <w:color w:val="0000EE"/>
                </w:rPr>
                <w:t>20</w:t>
              </w:r>
              <w:r>
                <w:rPr>
                  <w:rFonts w:ascii="Arial" w:cs="Arial" w:eastAsia="Arial" w:hAnsi="Arial"/>
                  <w:sz w:val="18"/>
                  <w:szCs w:val="18"/>
                  <w:color w:val="0000EE"/>
                </w:rPr>
                <w:t xml:space="preserve"> to the Quarterly Report on Form 10-Q for the quarter ended March 31, 1996 and incorporated herein by reference). *</w:t>
              </w:r>
            </w:hyperlink>
          </w:p>
        </w:tc>
        <w:tc>
          <w:tcPr>
            <w:tcW w:w="60" w:type="dxa"/>
            <w:vAlign w:val="bottom"/>
          </w:tcPr>
          <w:p>
            <w:pPr>
              <w:spacing w:after="0"/>
              <w:rPr>
                <w:sz w:val="17"/>
                <w:szCs w:val="17"/>
                <w:color w:val="auto"/>
              </w:rPr>
            </w:pPr>
          </w:p>
        </w:tc>
      </w:tr>
      <w:tr>
        <w:trPr>
          <w:trHeight w:val="385"/>
        </w:trPr>
        <w:tc>
          <w:tcPr>
            <w:tcW w:w="940" w:type="dxa"/>
            <w:vAlign w:val="bottom"/>
          </w:tcPr>
          <w:p>
            <w:pPr>
              <w:spacing w:after="0"/>
              <w:rPr>
                <w:sz w:val="24"/>
                <w:szCs w:val="24"/>
                <w:color w:val="auto"/>
              </w:rPr>
            </w:pPr>
          </w:p>
        </w:tc>
        <w:tc>
          <w:tcPr>
            <w:tcW w:w="8860" w:type="dxa"/>
            <w:vAlign w:val="bottom"/>
            <w:tcBorders>
              <w:top w:val="single" w:sz="8" w:color="0000EE"/>
            </w:tcBorders>
            <w:gridSpan w:val="4"/>
          </w:tcPr>
          <w:p>
            <w:pPr>
              <w:ind w:left="448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86" w:right="5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00" w:right="2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10.1(b)</w:t>
      </w:r>
      <w:r>
        <w:rPr>
          <w:sz w:val="20"/>
          <w:szCs w:val="20"/>
          <w:color w:val="auto"/>
        </w:rPr>
        <w:tab/>
      </w:r>
      <w:hyperlink r:id="rId44">
        <w:r>
          <w:rPr>
            <w:rFonts w:ascii="Arial" w:cs="Arial" w:eastAsia="Arial" w:hAnsi="Arial"/>
            <w:sz w:val="18"/>
            <w:szCs w:val="18"/>
            <w:u w:val="single" w:color="auto"/>
            <w:color w:val="0000EE"/>
          </w:rPr>
          <w:t>First Amendment dated January 1, 2001 to Employment Agreement and Incentive Plan dated January 31, 1996 by and between Watsco, Inc.</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and Albert H. Nahmad (filed as Exhibit 10.13 to the Annual Report on Form 10-K for the year ended December 31, 2000 and incorporated</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herein by reference). *</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10.1(c)</w:t>
      </w:r>
      <w:r>
        <w:rPr>
          <w:sz w:val="20"/>
          <w:szCs w:val="20"/>
          <w:color w:val="auto"/>
        </w:rPr>
        <w:tab/>
      </w:r>
      <w:hyperlink r:id="rId45">
        <w:r>
          <w:rPr>
            <w:rFonts w:ascii="Arial" w:cs="Arial" w:eastAsia="Arial" w:hAnsi="Arial"/>
            <w:sz w:val="18"/>
            <w:szCs w:val="18"/>
            <w:u w:val="single" w:color="auto"/>
            <w:color w:val="0000EE"/>
          </w:rPr>
          <w:t>Second Amendment dated January 1, 2002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Inc. and Albert H. Nahmad (filed as Exhibit 10.15 to the Annual Report on Form 10-K for the year ended December 31, 2001 and</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26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10.1(d)</w:t>
      </w:r>
      <w:r>
        <w:rPr>
          <w:sz w:val="20"/>
          <w:szCs w:val="20"/>
          <w:color w:val="auto"/>
        </w:rPr>
        <w:tab/>
      </w:r>
      <w:hyperlink r:id="rId46">
        <w:r>
          <w:rPr>
            <w:rFonts w:ascii="Arial" w:cs="Arial" w:eastAsia="Arial" w:hAnsi="Arial"/>
            <w:sz w:val="18"/>
            <w:szCs w:val="18"/>
            <w:u w:val="single" w:color="auto"/>
            <w:color w:val="0000EE"/>
          </w:rPr>
          <w:t>Third Amendment dated January 1, 2003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Inc. and Albert H. Nahmad (filed as Exhibit 10.11 to the Annual Report on Form 10-K for the year ended December 31, 2002 and</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8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10.1(e)</w:t>
      </w:r>
      <w:r>
        <w:rPr>
          <w:sz w:val="20"/>
          <w:szCs w:val="20"/>
          <w:color w:val="auto"/>
        </w:rPr>
        <w:tab/>
      </w:r>
      <w:hyperlink r:id="rId47">
        <w:r>
          <w:rPr>
            <w:rFonts w:ascii="Arial" w:cs="Arial" w:eastAsia="Arial" w:hAnsi="Arial"/>
            <w:sz w:val="18"/>
            <w:szCs w:val="18"/>
            <w:u w:val="single" w:color="auto"/>
            <w:color w:val="0000EE"/>
          </w:rPr>
          <w:t>Fourth Amendment dated January 1, 2004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Inc. and Albert H. Nahmad (filed as Exhibit 10.1 to the Quarterly Report on Form 10-Q for the quarter ended March 31, 2004 and</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10.1(f)</w:t>
      </w:r>
      <w:r>
        <w:rPr>
          <w:sz w:val="20"/>
          <w:szCs w:val="20"/>
          <w:color w:val="auto"/>
        </w:rPr>
        <w:tab/>
      </w:r>
      <w:hyperlink r:id="rId48">
        <w:r>
          <w:rPr>
            <w:rFonts w:ascii="Arial" w:cs="Arial" w:eastAsia="Arial" w:hAnsi="Arial"/>
            <w:sz w:val="18"/>
            <w:szCs w:val="18"/>
            <w:u w:val="single" w:color="auto"/>
            <w:color w:val="0000EE"/>
          </w:rPr>
          <w:t>Fifth Amendment dated January 1, 2005 to Employment Agreement and Incentive Plan dated January 31, 1996 by and between Watsco, Inc.</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and Albert H. Nahmad (filed as Exhibit 10.1 to the Quarterly Report on Form 10-Q for the quarter ended March 31, 2005 and incorporated</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herein by reference). *</w:t>
        </w:r>
      </w:hyperlink>
    </w:p>
    <w:p>
      <w:pPr>
        <w:spacing w:after="0" w:line="76" w:lineRule="exact"/>
        <w:rPr>
          <w:rFonts w:ascii="Arial" w:cs="Arial" w:eastAsia="Arial" w:hAnsi="Arial"/>
          <w:sz w:val="18"/>
          <w:szCs w:val="18"/>
          <w:u w:val="single" w:color="auto"/>
          <w:color w:val="0000EE"/>
        </w:rPr>
      </w:pPr>
    </w:p>
    <w:p>
      <w:pPr>
        <w:ind w:left="1000" w:right="28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10.1(g)</w:t>
      </w:r>
      <w:r>
        <w:rPr>
          <w:sz w:val="20"/>
          <w:szCs w:val="20"/>
          <w:color w:val="auto"/>
        </w:rPr>
        <w:tab/>
      </w:r>
      <w:hyperlink r:id="rId49">
        <w:r>
          <w:rPr>
            <w:rFonts w:ascii="Arial" w:cs="Arial" w:eastAsia="Arial" w:hAnsi="Arial"/>
            <w:sz w:val="18"/>
            <w:szCs w:val="18"/>
            <w:u w:val="single" w:color="auto"/>
            <w:color w:val="0000EE"/>
          </w:rPr>
          <w:t>Sixth Amendment dated January 1, 2006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Inc. and Albert H. Nahmad (filed as Exhibit 10.16 to the Annual Report on Form 10-K for the year ended December 31, 2005 and</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8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10.1(h)</w:t>
      </w:r>
      <w:r>
        <w:rPr>
          <w:sz w:val="20"/>
          <w:szCs w:val="20"/>
          <w:color w:val="auto"/>
        </w:rPr>
        <w:tab/>
      </w:r>
      <w:hyperlink r:id="rId50">
        <w:r>
          <w:rPr>
            <w:rFonts w:ascii="Arial" w:cs="Arial" w:eastAsia="Arial" w:hAnsi="Arial"/>
            <w:sz w:val="18"/>
            <w:szCs w:val="18"/>
            <w:u w:val="single" w:color="auto"/>
            <w:color w:val="0000EE"/>
          </w:rPr>
          <w:t>Seventh Amendment dated January 1, 2007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Inc. and Albert H. Nahmad (filed as Exhibit 10.18 to the Annual Report on Form 10-K for the year ended December 31, 2006 and</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8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10.1(i)</w:t>
      </w:r>
      <w:r>
        <w:rPr>
          <w:sz w:val="20"/>
          <w:szCs w:val="20"/>
          <w:color w:val="auto"/>
        </w:rPr>
        <w:tab/>
      </w:r>
      <w:hyperlink r:id="rId51">
        <w:r>
          <w:rPr>
            <w:rFonts w:ascii="Arial" w:cs="Arial" w:eastAsia="Arial" w:hAnsi="Arial"/>
            <w:sz w:val="18"/>
            <w:szCs w:val="18"/>
            <w:u w:val="single" w:color="auto"/>
            <w:color w:val="0000EE"/>
          </w:rPr>
          <w:t>Eighth Amendment dated January 1, 2008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Inc. and Albert H. Nahmad (filed as Exhibit 10.1 to the Quarterly Report on Form 10-Q for the quarter ended March 31, 2008 and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10.1(j)</w:t>
      </w:r>
      <w:r>
        <w:rPr>
          <w:sz w:val="20"/>
          <w:szCs w:val="20"/>
          <w:color w:val="auto"/>
        </w:rPr>
        <w:tab/>
      </w:r>
      <w:hyperlink r:id="rId52">
        <w:r>
          <w:rPr>
            <w:rFonts w:ascii="Arial" w:cs="Arial" w:eastAsia="Arial" w:hAnsi="Arial"/>
            <w:sz w:val="18"/>
            <w:szCs w:val="18"/>
            <w:u w:val="single" w:color="auto"/>
            <w:color w:val="0000EE"/>
          </w:rPr>
          <w:t>Ninth Amendment dated December 10, 2008 to Employment Agreement and Incentive Plan dated January 31, 1996 by and between</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Watsco, Inc. and Albert H. Nahmad (filed as Exhibit 10.19 to the Annual Report on Form 10-K for the year ended December 31, 2008 and</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26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10.1(k)</w:t>
      </w:r>
      <w:r>
        <w:rPr>
          <w:sz w:val="20"/>
          <w:szCs w:val="20"/>
          <w:color w:val="auto"/>
        </w:rPr>
        <w:tab/>
      </w:r>
      <w:hyperlink r:id="rId53">
        <w:r>
          <w:rPr>
            <w:rFonts w:ascii="Arial" w:cs="Arial" w:eastAsia="Arial" w:hAnsi="Arial"/>
            <w:sz w:val="18"/>
            <w:szCs w:val="18"/>
            <w:u w:val="single" w:color="auto"/>
            <w:color w:val="0000EE"/>
          </w:rPr>
          <w:t>Tenth Amendment dated January 1, 2009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Inc. and Albert H. Nahmad (filed as Exhibit 10.1 to the Quarterly Report on Form 10-Q for the quarter ended March 31, 2009 and</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2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10.1(l)</w:t>
      </w:r>
      <w:r>
        <w:rPr>
          <w:sz w:val="20"/>
          <w:szCs w:val="20"/>
          <w:color w:val="auto"/>
        </w:rPr>
        <w:tab/>
      </w:r>
      <w:hyperlink r:id="rId54">
        <w:r>
          <w:rPr>
            <w:rFonts w:ascii="Arial" w:cs="Arial" w:eastAsia="Arial" w:hAnsi="Arial"/>
            <w:sz w:val="18"/>
            <w:szCs w:val="18"/>
            <w:u w:val="single" w:color="auto"/>
            <w:color w:val="0000EE"/>
          </w:rPr>
          <w:t>Eleventh Amendment dated January 1, 2010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Inc. and Albert H. Nahmad (filed as Exhibit 10.1 to the Quarterly Report on Form 10-Q for the quarter ended March 31, 2010 and</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2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10.1(m)</w:t>
      </w:r>
      <w:r>
        <w:rPr>
          <w:sz w:val="20"/>
          <w:szCs w:val="20"/>
          <w:color w:val="auto"/>
        </w:rPr>
        <w:tab/>
      </w:r>
      <w:hyperlink r:id="rId55">
        <w:r>
          <w:rPr>
            <w:rFonts w:ascii="Arial" w:cs="Arial" w:eastAsia="Arial" w:hAnsi="Arial"/>
            <w:sz w:val="18"/>
            <w:szCs w:val="18"/>
            <w:u w:val="single" w:color="auto"/>
            <w:color w:val="0000EE"/>
          </w:rPr>
          <w:t>Twelfth Amendment dated January 1, 2011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Inc. and Albert H. Nahmad (filed as Exhibit 10.1 to the Quarterly Report on Form 10-Q for the quarter ended March 31, 2011 and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10.1(n)</w:t>
      </w:r>
      <w:r>
        <w:rPr>
          <w:sz w:val="20"/>
          <w:szCs w:val="20"/>
          <w:color w:val="auto"/>
        </w:rPr>
        <w:tab/>
      </w:r>
      <w:hyperlink r:id="rId56">
        <w:r>
          <w:rPr>
            <w:rFonts w:ascii="Arial" w:cs="Arial" w:eastAsia="Arial" w:hAnsi="Arial"/>
            <w:sz w:val="18"/>
            <w:szCs w:val="18"/>
            <w:u w:val="single" w:color="auto"/>
            <w:color w:val="0000EE"/>
          </w:rPr>
          <w:t>Thirteenth Amendment dated January 1, 2012 to Employment Agreement and Incentive Plan dated January 31, 1996 by and between</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Watsco, Inc. and Albert H. Nahmad (filed as Exhibit 10.1 to the Quarterly Report on Form 10-Q for the quarter ended March 31, 2012 and</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10.1(o)</w:t>
      </w:r>
      <w:r>
        <w:rPr>
          <w:sz w:val="20"/>
          <w:szCs w:val="20"/>
          <w:color w:val="auto"/>
        </w:rPr>
        <w:tab/>
      </w:r>
      <w:hyperlink r:id="rId57">
        <w:r>
          <w:rPr>
            <w:rFonts w:ascii="Arial" w:cs="Arial" w:eastAsia="Arial" w:hAnsi="Arial"/>
            <w:sz w:val="18"/>
            <w:szCs w:val="18"/>
            <w:u w:val="single" w:color="auto"/>
            <w:color w:val="0000EE"/>
          </w:rPr>
          <w:t>Fourteenth Amendment dated January 1, 2013 to Employment Agreement and Incentive Plan dated January 31, 1996 by and between</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Watsco, Inc. and Albert H. Nahmad (filed as Exhibit 10.1 to the Quarterly Report on Form 10-Q for the quarter ended March 31, 2013 and</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2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10.1(p)</w:t>
      </w:r>
      <w:r>
        <w:rPr>
          <w:sz w:val="20"/>
          <w:szCs w:val="20"/>
          <w:color w:val="auto"/>
        </w:rPr>
        <w:tab/>
      </w:r>
      <w:hyperlink r:id="rId58">
        <w:r>
          <w:rPr>
            <w:rFonts w:ascii="Arial" w:cs="Arial" w:eastAsia="Arial" w:hAnsi="Arial"/>
            <w:sz w:val="18"/>
            <w:szCs w:val="18"/>
            <w:u w:val="single" w:color="auto"/>
            <w:color w:val="0000EE"/>
          </w:rPr>
          <w:t>Fifteenth Amendment dated January 1, 2014 to Employment Agreement and Incentive Plan dated January 31, 1996 by and between Watsco,</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Inc. and Albert H. Nahmad (filed as Exhibit 10.1 to the Quarterly Report on Form 10-Q for the quarter ended March 31, 2014 and</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10.1(q)</w:t>
      </w:r>
      <w:r>
        <w:rPr>
          <w:sz w:val="20"/>
          <w:szCs w:val="20"/>
          <w:color w:val="auto"/>
        </w:rPr>
        <w:tab/>
      </w:r>
      <w:hyperlink r:id="rId59">
        <w:r>
          <w:rPr>
            <w:rFonts w:ascii="Arial" w:cs="Arial" w:eastAsia="Arial" w:hAnsi="Arial"/>
            <w:sz w:val="18"/>
            <w:szCs w:val="18"/>
            <w:u w:val="single" w:color="auto"/>
            <w:color w:val="0000EE"/>
          </w:rPr>
          <w:t>Sixteenth Amendment dated January 1, 2015 to Employment Agreement and Incentive Plan dated January 31, 1996 by and between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Watsco, Inc. and Albert H. Nahmad (filed as Exhibit 10.1 to the Quarterly Report on Form 10-Q for the quarter ended March 31, 2015 and</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incorporated herein by reference). *</w:t>
        </w:r>
      </w:hyperlink>
    </w:p>
    <w:p>
      <w:pPr>
        <w:spacing w:after="0" w:line="116"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17" w:lineRule="exact"/>
        <w:rPr>
          <w:sz w:val="20"/>
          <w:szCs w:val="20"/>
          <w:color w:val="auto"/>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10.1(r)</w:t>
      </w:r>
      <w:r>
        <w:rPr>
          <w:sz w:val="20"/>
          <w:szCs w:val="20"/>
          <w:color w:val="auto"/>
        </w:rPr>
        <w:tab/>
      </w:r>
      <w:hyperlink r:id="rId61">
        <w:r>
          <w:rPr>
            <w:rFonts w:ascii="Arial" w:cs="Arial" w:eastAsia="Arial" w:hAnsi="Arial"/>
            <w:sz w:val="18"/>
            <w:szCs w:val="18"/>
            <w:u w:val="single" w:color="auto"/>
            <w:color w:val="0000EE"/>
          </w:rPr>
          <w:t>Seventeenth Amendment dated January 1, 2016 to Employment Agreement and Incentive Plan dated January 31, 1996 by and between</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Watsco, Inc. and Albert H. Nahmad (filed as Exhibit 10.1 to the Quarterly Report on Form 10-Q for the quarter ended March 31, 2016 and</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10.1(s)</w:t>
      </w:r>
      <w:r>
        <w:rPr>
          <w:sz w:val="20"/>
          <w:szCs w:val="20"/>
          <w:color w:val="auto"/>
        </w:rPr>
        <w:tab/>
      </w:r>
      <w:hyperlink r:id="rId62">
        <w:r>
          <w:rPr>
            <w:rFonts w:ascii="Arial" w:cs="Arial" w:eastAsia="Arial" w:hAnsi="Arial"/>
            <w:sz w:val="18"/>
            <w:szCs w:val="18"/>
            <w:u w:val="single" w:color="auto"/>
            <w:color w:val="0000EE"/>
          </w:rPr>
          <w:t>Eighteenth Amendment dated January 1, 2017 to Employment Agreement and Incentive Plan dated January 31, 1996 by and between</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Watsco, Inc. and Albert H. Nahmad (filed as Exhibit 10.1 to the Quarterly Report on Form 10-Q for the quarter ended March 31, 2017 and</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10.1(t)</w:t>
      </w:r>
      <w:r>
        <w:rPr>
          <w:sz w:val="20"/>
          <w:szCs w:val="20"/>
          <w:color w:val="auto"/>
        </w:rPr>
        <w:tab/>
      </w:r>
      <w:hyperlink r:id="rId63">
        <w:r>
          <w:rPr>
            <w:rFonts w:ascii="Arial" w:cs="Arial" w:eastAsia="Arial" w:hAnsi="Arial"/>
            <w:sz w:val="18"/>
            <w:szCs w:val="18"/>
            <w:u w:val="single" w:color="auto"/>
            <w:color w:val="0000EE"/>
          </w:rPr>
          <w:t>Nineteenth Amendment dated January 1, 2018 to Employment Agreement and Incentive Plan dated January 31, 1996 by and between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Watsco, Inc. and Albert H. Nahmad (filed as Exhibit 10.1 to the Quarterly Report on Form 10-Q for the quarter ended March 31, 2018 and</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10.1(u)</w:t>
      </w:r>
      <w:r>
        <w:rPr>
          <w:sz w:val="20"/>
          <w:szCs w:val="20"/>
          <w:color w:val="auto"/>
        </w:rPr>
        <w:tab/>
      </w:r>
      <w:hyperlink r:id="rId64">
        <w:r>
          <w:rPr>
            <w:rFonts w:ascii="Arial" w:cs="Arial" w:eastAsia="Arial" w:hAnsi="Arial"/>
            <w:sz w:val="18"/>
            <w:szCs w:val="18"/>
            <w:u w:val="single" w:color="auto"/>
            <w:color w:val="0000EE"/>
          </w:rPr>
          <w:t>Twentieth Amendment dated January 1, 2019 to Employment Agreement and Incentive Plan dated January 31, 1996 by and between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Watsco, Inc. and Albert H. Nahmad (filed as Exhibit 10.1 to the Quarterly Report on Form 10-Q for the quarter ended March 31, 2019 and</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10.1(v)</w:t>
      </w:r>
      <w:r>
        <w:rPr>
          <w:sz w:val="20"/>
          <w:szCs w:val="20"/>
          <w:color w:val="auto"/>
        </w:rPr>
        <w:tab/>
      </w:r>
      <w:hyperlink r:id="rId65">
        <w:r>
          <w:rPr>
            <w:rFonts w:ascii="Arial" w:cs="Arial" w:eastAsia="Arial" w:hAnsi="Arial"/>
            <w:sz w:val="18"/>
            <w:szCs w:val="18"/>
            <w:u w:val="single" w:color="auto"/>
            <w:color w:val="0000EE"/>
          </w:rPr>
          <w:t>Twenty-first Amendment dated January 1, 2020 to Employment Agreement and Incentive Plan dated January 31, 1996 by and between</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Watsco, Inc. and Albert H. Nahmad (filed as Exhibit 10.1 to the Quarterly Report on Form 10-Q for the quarter ended March 31, 2020 and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incorporated herein by reference). *</w:t>
        </w:r>
      </w:hyperlink>
    </w:p>
    <w:p>
      <w:pPr>
        <w:spacing w:after="0" w:line="76" w:lineRule="exact"/>
        <w:rPr>
          <w:rFonts w:ascii="Arial" w:cs="Arial" w:eastAsia="Arial" w:hAnsi="Arial"/>
          <w:sz w:val="18"/>
          <w:szCs w:val="18"/>
          <w:u w:val="single" w:color="auto"/>
          <w:color w:val="0000EE"/>
        </w:rPr>
      </w:pPr>
    </w:p>
    <w:p>
      <w:pPr>
        <w:ind w:left="100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10.1(w)</w:t>
      </w:r>
      <w:r>
        <w:rPr>
          <w:sz w:val="20"/>
          <w:szCs w:val="20"/>
          <w:color w:val="auto"/>
        </w:rPr>
        <w:tab/>
      </w:r>
      <w:hyperlink r:id="rId66">
        <w:r>
          <w:rPr>
            <w:rFonts w:ascii="Arial" w:cs="Arial" w:eastAsia="Arial" w:hAnsi="Arial"/>
            <w:sz w:val="18"/>
            <w:szCs w:val="18"/>
            <w:u w:val="single" w:color="auto"/>
            <w:color w:val="0000EE"/>
          </w:rPr>
          <w:t>Twenty-second Amendment dated January 1, 2021 to Employment Agreement and Incentive Plan dated January 31, 1996 by and between</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Watsco, Inc. and Albert H. Nahmad (filed as Exhibit 10.1(w) to the Annual Report on Form 10-K for the year ended December 31, 2020 and</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incorporated herein by reference).*</w:t>
        </w:r>
      </w:hyperlink>
    </w:p>
    <w:p>
      <w:pPr>
        <w:spacing w:after="0" w:line="76" w:lineRule="exact"/>
        <w:rPr>
          <w:rFonts w:ascii="Arial" w:cs="Arial" w:eastAsia="Arial" w:hAnsi="Arial"/>
          <w:sz w:val="18"/>
          <w:szCs w:val="18"/>
          <w:u w:val="single" w:color="auto"/>
          <w:color w:val="0000EE"/>
        </w:rPr>
      </w:pPr>
    </w:p>
    <w:p>
      <w:pPr>
        <w:ind w:left="1000" w:right="4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10.1(x)</w:t>
      </w:r>
      <w:r>
        <w:rPr>
          <w:sz w:val="20"/>
          <w:szCs w:val="20"/>
          <w:color w:val="auto"/>
        </w:rPr>
        <w:tab/>
      </w:r>
      <w:hyperlink r:id="rId67">
        <w:r>
          <w:rPr>
            <w:rFonts w:ascii="Arial" w:cs="Arial" w:eastAsia="Arial" w:hAnsi="Arial"/>
            <w:sz w:val="18"/>
            <w:szCs w:val="18"/>
            <w:u w:val="single" w:color="auto"/>
            <w:color w:val="0000EE"/>
          </w:rPr>
          <w:t>Twenty-third Amendment dated January 1, 2022 to Employment Agreement and Incentive Plan dated January 31, 1996 by and between</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Watsco, Inc. and Albert H. Nahmad (filed as Exhibit 10.1(x) to the Annual Report on Form 10-K for the year ended December 31, 2021 and</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incorporated herein by reference).*</w:t>
        </w:r>
      </w:hyperlink>
    </w:p>
    <w:p>
      <w:pPr>
        <w:spacing w:after="0" w:line="76" w:lineRule="exact"/>
        <w:rPr>
          <w:rFonts w:ascii="Arial" w:cs="Arial" w:eastAsia="Arial" w:hAnsi="Arial"/>
          <w:sz w:val="18"/>
          <w:szCs w:val="18"/>
          <w:u w:val="single" w:color="auto"/>
          <w:color w:val="0000EE"/>
        </w:rPr>
      </w:pPr>
    </w:p>
    <w:p>
      <w:pPr>
        <w:ind w:left="12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10.2(a)</w:t>
      </w:r>
      <w:r>
        <w:rPr>
          <w:sz w:val="20"/>
          <w:szCs w:val="20"/>
          <w:color w:val="auto"/>
        </w:rPr>
        <w:tab/>
      </w:r>
      <w:hyperlink r:id="rId68">
        <w:r>
          <w:rPr>
            <w:rFonts w:ascii="Arial" w:cs="Arial" w:eastAsia="Arial" w:hAnsi="Arial"/>
            <w:sz w:val="16"/>
            <w:szCs w:val="16"/>
            <w:u w:val="single" w:color="auto"/>
            <w:color w:val="0000EE"/>
          </w:rPr>
          <w:t>Watsco, Inc. 2014 Incentive Compensation Plan (filed as Appendix A to the Definitive Proxy Statement on Schedule 14A in respect of our</w:t>
        </w:r>
      </w:hyperlink>
    </w:p>
    <w:p>
      <w:pPr>
        <w:spacing w:after="0" w:line="23"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2014 Annual Meeting of Shareholders and incorporated herein by reference). *</w:t>
        </w:r>
      </w:hyperlink>
    </w:p>
    <w:p>
      <w:pPr>
        <w:spacing w:after="0" w:line="103" w:lineRule="exact"/>
        <w:rPr>
          <w:rFonts w:ascii="Arial" w:cs="Arial" w:eastAsia="Arial" w:hAnsi="Arial"/>
          <w:sz w:val="18"/>
          <w:szCs w:val="18"/>
          <w:u w:val="single" w:color="auto"/>
          <w:color w:val="0000EE"/>
        </w:rPr>
      </w:pPr>
    </w:p>
    <w:p>
      <w:pPr>
        <w:ind w:left="12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10.2(b)</w:t>
      </w:r>
      <w:r>
        <w:rPr>
          <w:sz w:val="20"/>
          <w:szCs w:val="20"/>
          <w:color w:val="auto"/>
        </w:rPr>
        <w:tab/>
      </w:r>
      <w:hyperlink r:id="rId69">
        <w:r>
          <w:rPr>
            <w:rFonts w:ascii="Arial" w:cs="Arial" w:eastAsia="Arial" w:hAnsi="Arial"/>
            <w:sz w:val="16"/>
            <w:szCs w:val="16"/>
            <w:u w:val="single" w:color="auto"/>
            <w:color w:val="0000EE"/>
          </w:rPr>
          <w:t>Watsco, Inc. 2021 Incentive Compensation Plan (filed as Appendix A to the Definitive Proxy Statement on Schedule 14A in respect of our</w:t>
        </w:r>
      </w:hyperlink>
    </w:p>
    <w:p>
      <w:pPr>
        <w:spacing w:after="0" w:line="23"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2021 Annual Meeting of Shareholders and incorporated herein by reference). *</w:t>
        </w:r>
      </w:hyperlink>
    </w:p>
    <w:p>
      <w:pPr>
        <w:spacing w:after="0" w:line="103" w:lineRule="exact"/>
        <w:rPr>
          <w:rFonts w:ascii="Arial" w:cs="Arial" w:eastAsia="Arial" w:hAnsi="Arial"/>
          <w:sz w:val="18"/>
          <w:szCs w:val="18"/>
          <w:u w:val="single" w:color="auto"/>
          <w:color w:val="0000EE"/>
        </w:rPr>
      </w:pPr>
    </w:p>
    <w:p>
      <w:pPr>
        <w:ind w:left="1000" w:right="200" w:hanging="876"/>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70">
        <w:r>
          <w:rPr>
            <w:rFonts w:ascii="Arial" w:cs="Arial" w:eastAsia="Arial" w:hAnsi="Arial"/>
            <w:sz w:val="16"/>
            <w:szCs w:val="16"/>
            <w:u w:val="single" w:color="auto"/>
            <w:color w:val="0000EE"/>
          </w:rPr>
          <w:t>Fourth Amended and Restated 1996 Qualified Employee Stock Purchase Plan dated April 18, 2011 (filed as Appendix A to the Definitive</w:t>
        </w:r>
      </w:hyperlink>
      <w:r>
        <w:rPr>
          <w:rFonts w:ascii="Arial" w:cs="Arial" w:eastAsia="Arial" w:hAnsi="Arial"/>
          <w:sz w:val="16"/>
          <w:szCs w:val="16"/>
          <w:u w:val="single" w:color="auto"/>
          <w:color w:val="0000EE"/>
        </w:rPr>
        <w:t xml:space="preserve"> </w:t>
      </w:r>
      <w:hyperlink r:id="rId70">
        <w:r>
          <w:rPr>
            <w:rFonts w:ascii="Arial" w:cs="Arial" w:eastAsia="Arial" w:hAnsi="Arial"/>
            <w:sz w:val="16"/>
            <w:szCs w:val="16"/>
            <w:u w:val="single" w:color="auto"/>
            <w:color w:val="0000EE"/>
          </w:rPr>
          <w:t>Proxy Statement on Schedule 14A in respect of our 2011 Annual Meeting of Shareholders and incorporated herein by reference). *</w:t>
        </w:r>
      </w:hyperlink>
    </w:p>
    <w:p>
      <w:pPr>
        <w:spacing w:after="0" w:line="16" w:lineRule="exact"/>
        <w:rPr>
          <w:sz w:val="20"/>
          <w:szCs w:val="20"/>
          <w:color w:val="auto"/>
        </w:rPr>
      </w:pPr>
    </w:p>
    <w:p>
      <w:pPr>
        <w:ind w:left="1000" w:right="60" w:hanging="876"/>
        <w:spacing w:after="0" w:line="27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10.4(a)</w:t>
      </w:r>
      <w:r>
        <w:rPr>
          <w:sz w:val="20"/>
          <w:szCs w:val="20"/>
          <w:color w:val="auto"/>
        </w:rPr>
        <w:tab/>
      </w:r>
      <w:hyperlink r:id="rId71">
        <w:r>
          <w:rPr>
            <w:rFonts w:ascii="Arial" w:cs="Arial" w:eastAsia="Arial" w:hAnsi="Arial"/>
            <w:sz w:val="17"/>
            <w:szCs w:val="17"/>
            <w:u w:val="single" w:color="auto"/>
            <w:color w:val="0000EE"/>
          </w:rPr>
          <w:t>Credit Agreement dated as of December 5, 2018, by and among Watsco, Inc., Watsco Canada, Inc. and Carrier Enterprise Mexico, S. de</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R.L. de C.V., as Borrowers, the Other Lenders From Time to Time Party Thereto, Bank of America, N.A., as Administrative Agent, Swing</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Line Lender and L/C Issuer, JPMorgan Chase Bank, N.A. as Syndication Agent and Branch Banking and Trust Company, U.S. Bank</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National Association and Wells Fargo Bank, National Association as Co-Documentation Agents (filed as Exhibit 10.1 to the Current Report</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on Form 8-K on December 11, 2018 and incorporated herein by reference).</w:t>
        </w:r>
      </w:hyperlink>
    </w:p>
    <w:p>
      <w:pPr>
        <w:spacing w:after="0" w:line="68" w:lineRule="exact"/>
        <w:rPr>
          <w:rFonts w:ascii="Arial" w:cs="Arial" w:eastAsia="Arial" w:hAnsi="Arial"/>
          <w:sz w:val="17"/>
          <w:szCs w:val="17"/>
          <w:u w:val="single" w:color="auto"/>
          <w:color w:val="0000EE"/>
        </w:rPr>
      </w:pPr>
    </w:p>
    <w:p>
      <w:pPr>
        <w:ind w:left="1000" w:right="80" w:hanging="876"/>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10.4(b)</w:t>
      </w:r>
      <w:r>
        <w:rPr>
          <w:sz w:val="20"/>
          <w:szCs w:val="20"/>
          <w:color w:val="auto"/>
        </w:rPr>
        <w:tab/>
      </w:r>
      <w:hyperlink r:id="rId72">
        <w:r>
          <w:rPr>
            <w:rFonts w:ascii="Arial" w:cs="Arial" w:eastAsia="Arial" w:hAnsi="Arial"/>
            <w:sz w:val="18"/>
            <w:szCs w:val="18"/>
            <w:u w:val="single" w:color="auto"/>
            <w:color w:val="0000EE"/>
          </w:rPr>
          <w:t>Revolving Credit Increase and Joinder Agreement, dated as of April 10, 2020, by and among Watsco, Inc., Watsco Canada, Inc. and Carrier</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Enterprise Mexico, S. de R.L. de C.V., as Borrowers, Bank of America, N.A., as Administrative Agent, Swing Line Lender and L/C Issuer,</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Regions Bank, and PNC Bank N.A. as a joining Lender (filed as Exhibit 10.1 to the Current Report on Form 8-K on April 16, 2020 and</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incorporated herein by reference).</w:t>
        </w:r>
      </w:hyperlink>
    </w:p>
    <w:p>
      <w:pPr>
        <w:spacing w:after="0" w:line="79" w:lineRule="exact"/>
        <w:rPr>
          <w:rFonts w:ascii="Arial" w:cs="Arial" w:eastAsia="Arial" w:hAnsi="Arial"/>
          <w:sz w:val="18"/>
          <w:szCs w:val="18"/>
          <w:u w:val="single" w:color="auto"/>
          <w:color w:val="0000EE"/>
        </w:rPr>
      </w:pPr>
    </w:p>
    <w:p>
      <w:pPr>
        <w:ind w:left="1000" w:right="160" w:hanging="876"/>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73">
        <w:r>
          <w:rPr>
            <w:rFonts w:ascii="Arial" w:cs="Arial" w:eastAsia="Arial" w:hAnsi="Arial"/>
            <w:sz w:val="18"/>
            <w:szCs w:val="18"/>
            <w:u w:val="single" w:color="auto"/>
            <w:color w:val="0000EE"/>
          </w:rPr>
          <w:t>Amended and Restated Sales Agreement dated February 25, 2022, by and between Watsco, Inc., Robert W. Baird &amp; Co. Incorporated, and</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Goldman Sachs &amp; Co. LLC (filed as Exhibit 10.5(b) to the Annual Report on Form 10-K for the year ended December 31, 2021 and</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incorporated herein by reference).*</w:t>
        </w:r>
      </w:hyperlink>
    </w:p>
    <w:p>
      <w:pPr>
        <w:spacing w:after="0" w:line="116"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20" w:hanging="1104"/>
        <w:spacing w:after="0" w:line="263"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2022 Annual Report to Shareholders (with the exception of the information incorporated by reference into Items 7, 8 and 9 of this Form 10-K, the 2022 Annual Report to Shareholders is provided solely for the information of the SEC and is not deemed “filed” as part of this Form 10-K). #</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9760" w:type="dxa"/>
            <w:vAlign w:val="bottom"/>
            <w:gridSpan w:val="6"/>
          </w:tcPr>
          <w:p>
            <w:pPr>
              <w:spacing w:after="0"/>
              <w:rPr>
                <w:sz w:val="20"/>
                <w:szCs w:val="20"/>
                <w:color w:val="auto"/>
              </w:rPr>
            </w:pPr>
            <w:r>
              <w:rPr>
                <w:rFonts w:ascii="Arial" w:cs="Arial" w:eastAsia="Arial" w:hAnsi="Arial"/>
                <w:sz w:val="18"/>
                <w:szCs w:val="18"/>
                <w:color w:val="0000EE"/>
              </w:rPr>
              <w:t>Subsidiaries of the Registrant. #</w:t>
            </w:r>
          </w:p>
        </w:tc>
      </w:tr>
      <w:tr>
        <w:trPr>
          <w:trHeight w:val="20"/>
        </w:trPr>
        <w:tc>
          <w:tcPr>
            <w:tcW w:w="1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9760" w:type="dxa"/>
            <w:vAlign w:val="bottom"/>
            <w:gridSpan w:val="6"/>
          </w:tcPr>
          <w:p>
            <w:pPr>
              <w:spacing w:after="0"/>
              <w:rPr>
                <w:sz w:val="20"/>
                <w:szCs w:val="20"/>
                <w:color w:val="auto"/>
              </w:rPr>
            </w:pPr>
            <w:r>
              <w:rPr>
                <w:rFonts w:ascii="Arial" w:cs="Arial" w:eastAsia="Arial" w:hAnsi="Arial"/>
                <w:sz w:val="18"/>
                <w:szCs w:val="18"/>
                <w:color w:val="0000EE"/>
              </w:rPr>
              <w:t>Consent of Independent Registered Public Accounting Firm – KPMG LLP. #</w:t>
            </w:r>
          </w:p>
        </w:tc>
      </w:tr>
      <w:tr>
        <w:trPr>
          <w:trHeight w:val="20"/>
        </w:trPr>
        <w:tc>
          <w:tcPr>
            <w:tcW w:w="1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gridSpan w:val="6"/>
          </w:tcPr>
          <w:p>
            <w:pPr>
              <w:spacing w:after="0"/>
              <w:rPr>
                <w:sz w:val="20"/>
                <w:szCs w:val="20"/>
                <w:color w:val="auto"/>
              </w:rPr>
            </w:pPr>
            <w:r>
              <w:rPr>
                <w:rFonts w:ascii="Arial" w:cs="Arial" w:eastAsia="Arial" w:hAnsi="Arial"/>
                <w:sz w:val="18"/>
                <w:szCs w:val="18"/>
                <w:color w:val="0000EE"/>
              </w:rPr>
              <w:t>Certification of Chief Executive Officer pursuant to Section 302 of the Sarbanes-Oxley Act of 2002. #</w:t>
            </w:r>
          </w:p>
        </w:tc>
      </w:tr>
      <w:tr>
        <w:trPr>
          <w:trHeight w:val="20"/>
        </w:trPr>
        <w:tc>
          <w:tcPr>
            <w:tcW w:w="1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gridSpan w:val="6"/>
          </w:tcPr>
          <w:p>
            <w:pPr>
              <w:spacing w:after="0"/>
              <w:rPr>
                <w:sz w:val="20"/>
                <w:szCs w:val="20"/>
                <w:color w:val="auto"/>
              </w:rPr>
            </w:pPr>
            <w:r>
              <w:rPr>
                <w:rFonts w:ascii="Arial" w:cs="Arial" w:eastAsia="Arial" w:hAnsi="Arial"/>
                <w:sz w:val="18"/>
                <w:szCs w:val="18"/>
                <w:color w:val="0000EE"/>
              </w:rPr>
              <w:t>Certification of Executive Vice President pursuant to Section 302 of the Sarbanes-Oxley Act of 2002. #</w:t>
            </w: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31.3</w:t>
            </w:r>
          </w:p>
        </w:tc>
        <w:tc>
          <w:tcPr>
            <w:tcW w:w="73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 #</w:t>
            </w:r>
          </w:p>
        </w:tc>
        <w:tc>
          <w:tcPr>
            <w:tcW w:w="8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7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Certification of Chief Executive Officer, Executive Vice President and Chief Financial Officer pursuant to Section 906 of the Sarbanes-</w:t>
            </w:r>
          </w:p>
        </w:tc>
      </w:tr>
      <w:tr>
        <w:trPr>
          <w:trHeight w:val="196"/>
        </w:trPr>
        <w:tc>
          <w:tcPr>
            <w:tcW w:w="110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Oxley Act of 2002. +</w:t>
            </w:r>
          </w:p>
        </w:tc>
        <w:tc>
          <w:tcPr>
            <w:tcW w:w="8220" w:type="dxa"/>
            <w:vAlign w:val="bottom"/>
            <w:gridSpan w:val="5"/>
          </w:tcPr>
          <w:p>
            <w:pPr>
              <w:spacing w:after="0"/>
              <w:rPr>
                <w:sz w:val="17"/>
                <w:szCs w:val="17"/>
                <w:color w:val="auto"/>
              </w:rPr>
            </w:pPr>
          </w:p>
        </w:tc>
      </w:tr>
      <w:tr>
        <w:trPr>
          <w:trHeight w:val="330"/>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6"/>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1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 #</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gridSpan w:val="6"/>
          </w:tcPr>
          <w:p>
            <w:pPr>
              <w:spacing w:after="0"/>
              <w:rPr>
                <w:sz w:val="20"/>
                <w:szCs w:val="20"/>
                <w:color w:val="auto"/>
              </w:rPr>
            </w:pPr>
            <w:r>
              <w:rPr>
                <w:rFonts w:ascii="Arial" w:cs="Arial" w:eastAsia="Arial" w:hAnsi="Arial"/>
                <w:sz w:val="18"/>
                <w:szCs w:val="18"/>
                <w:color w:val="auto"/>
                <w:w w:val="92"/>
              </w:rPr>
              <w:t>The cover page from the Company’s Annual Report on Form 10-K for the year ended December 31, 2022,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86"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WATSCO,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Albert H. Nahmad, Chief Executive Officer</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Ana M. Menendez, Chief Financial Officer</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40"/>
          </w:cols>
          <w:pgMar w:left="320" w:top="486" w:right="439" w:bottom="1440" w:gutter="0" w:footer="0" w:header="0"/>
        </w:sectPr>
      </w:pPr>
    </w:p>
    <w:p>
      <w:pPr>
        <w:spacing w:after="0" w:line="189"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0086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05"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LBERT</w:t>
      </w:r>
      <w:r>
        <w:rPr>
          <w:rFonts w:ascii="Arial" w:cs="Arial" w:eastAsia="Arial" w:hAnsi="Arial"/>
          <w:sz w:val="18"/>
          <w:szCs w:val="18"/>
          <w:color w:val="auto"/>
        </w:rPr>
        <w:t xml:space="preserve"> H. N</w:t>
      </w:r>
      <w:r>
        <w:rPr>
          <w:rFonts w:ascii="Arial" w:cs="Arial" w:eastAsia="Arial" w:hAnsi="Arial"/>
          <w:sz w:val="14"/>
          <w:szCs w:val="14"/>
          <w:color w:val="auto"/>
        </w:rPr>
        <w:t>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Albert H. Nahmad</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NA</w:t>
      </w:r>
      <w:r>
        <w:rPr>
          <w:rFonts w:ascii="Arial" w:cs="Arial" w:eastAsia="Arial" w:hAnsi="Arial"/>
          <w:sz w:val="18"/>
          <w:szCs w:val="18"/>
          <w:color w:val="auto"/>
        </w:rPr>
        <w:t xml:space="preserve"> M. M</w:t>
      </w:r>
      <w:r>
        <w:rPr>
          <w:rFonts w:ascii="Arial" w:cs="Arial" w:eastAsia="Arial" w:hAnsi="Arial"/>
          <w:sz w:val="14"/>
          <w:szCs w:val="14"/>
          <w:color w:val="auto"/>
        </w:rPr>
        <w:t>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Ana M. Menendez</w:t>
      </w:r>
    </w:p>
    <w:p>
      <w:pPr>
        <w:spacing w:after="0" w:line="200" w:lineRule="exact"/>
        <w:rPr>
          <w:sz w:val="20"/>
          <w:szCs w:val="20"/>
          <w:color w:val="auto"/>
        </w:rPr>
      </w:pPr>
    </w:p>
    <w:p>
      <w:pPr>
        <w:spacing w:after="0" w:line="24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ESAR</w:t>
      </w:r>
      <w:r>
        <w:rPr>
          <w:rFonts w:ascii="Arial" w:cs="Arial" w:eastAsia="Arial" w:hAnsi="Arial"/>
          <w:sz w:val="18"/>
          <w:szCs w:val="18"/>
          <w:color w:val="auto"/>
        </w:rPr>
        <w:t xml:space="preserve"> L. A</w:t>
      </w:r>
      <w:r>
        <w:rPr>
          <w:rFonts w:ascii="Arial" w:cs="Arial" w:eastAsia="Arial" w:hAnsi="Arial"/>
          <w:sz w:val="14"/>
          <w:szCs w:val="14"/>
          <w:color w:val="auto"/>
        </w:rPr>
        <w:t>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Cesar L. Alvarez</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J. Michael Custer</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ENISE</w:t>
      </w:r>
      <w:r>
        <w:rPr>
          <w:rFonts w:ascii="Arial" w:cs="Arial" w:eastAsia="Arial" w:hAnsi="Arial"/>
          <w:sz w:val="18"/>
          <w:szCs w:val="18"/>
          <w:color w:val="auto"/>
        </w:rPr>
        <w:t xml:space="preserve"> D</w:t>
      </w:r>
      <w:r>
        <w:rPr>
          <w:rFonts w:ascii="Arial" w:cs="Arial" w:eastAsia="Arial" w:hAnsi="Arial"/>
          <w:sz w:val="14"/>
          <w:szCs w:val="14"/>
          <w:color w:val="auto"/>
        </w:rPr>
        <w:t>ICKINS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Denise Dickins</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A. M</w:t>
      </w:r>
      <w:r>
        <w:rPr>
          <w:rFonts w:ascii="Arial" w:cs="Arial" w:eastAsia="Arial" w:hAnsi="Arial"/>
          <w:sz w:val="14"/>
          <w:szCs w:val="14"/>
          <w:color w:val="auto"/>
        </w:rPr>
        <w:t>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John A. Macdonald</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OB</w:t>
      </w:r>
      <w:r>
        <w:rPr>
          <w:rFonts w:ascii="Arial" w:cs="Arial" w:eastAsia="Arial" w:hAnsi="Arial"/>
          <w:sz w:val="18"/>
          <w:szCs w:val="18"/>
          <w:color w:val="auto"/>
        </w:rPr>
        <w:t xml:space="preserve"> L. M</w:t>
      </w:r>
      <w:r>
        <w:rPr>
          <w:rFonts w:ascii="Arial" w:cs="Arial" w:eastAsia="Arial" w:hAnsi="Arial"/>
          <w:sz w:val="14"/>
          <w:szCs w:val="14"/>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Bob L. Moss</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ARON</w:t>
      </w:r>
      <w:r>
        <w:rPr>
          <w:rFonts w:ascii="Arial" w:cs="Arial" w:eastAsia="Arial" w:hAnsi="Arial"/>
          <w:sz w:val="18"/>
          <w:szCs w:val="18"/>
          <w:color w:val="auto"/>
        </w:rPr>
        <w:t xml:space="preserve"> J. N</w:t>
      </w:r>
      <w:r>
        <w:rPr>
          <w:rFonts w:ascii="Arial" w:cs="Arial" w:eastAsia="Arial" w:hAnsi="Arial"/>
          <w:sz w:val="14"/>
          <w:szCs w:val="14"/>
          <w:color w:val="auto"/>
        </w:rPr>
        <w:t>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Aaron J. Nahmad</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R</w:t>
      </w:r>
      <w:r>
        <w:rPr>
          <w:rFonts w:ascii="Arial" w:cs="Arial" w:eastAsia="Arial" w:hAnsi="Arial"/>
          <w:sz w:val="14"/>
          <w:szCs w:val="14"/>
          <w:color w:val="auto"/>
        </w:rPr>
        <w:t>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Steven Rubin</w:t>
      </w:r>
    </w:p>
    <w:p>
      <w:pPr>
        <w:spacing w:after="0" w:line="2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ALERIE</w:t>
      </w:r>
      <w:r>
        <w:rPr>
          <w:rFonts w:ascii="Arial" w:cs="Arial" w:eastAsia="Arial" w:hAnsi="Arial"/>
          <w:sz w:val="18"/>
          <w:szCs w:val="18"/>
          <w:color w:val="auto"/>
        </w:rPr>
        <w:t xml:space="preserve"> S</w:t>
      </w:r>
      <w:r>
        <w:rPr>
          <w:rFonts w:ascii="Arial" w:cs="Arial" w:eastAsia="Arial" w:hAnsi="Arial"/>
          <w:sz w:val="14"/>
          <w:szCs w:val="14"/>
          <w:color w:val="auto"/>
        </w:rPr>
        <w:t>CHIMEL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008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Valerie Schimel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98"/>
        </w:trPr>
        <w:tc>
          <w:tcPr>
            <w:tcW w:w="4620" w:type="dxa"/>
            <w:vAlign w:val="bottom"/>
            <w:gridSpan w:val="2"/>
          </w:tcPr>
          <w:p>
            <w:pPr>
              <w:spacing w:after="0"/>
              <w:rPr>
                <w:sz w:val="20"/>
                <w:szCs w:val="20"/>
                <w:color w:val="auto"/>
              </w:rPr>
            </w:pPr>
            <w:r>
              <w:rPr>
                <w:rFonts w:ascii="Arial" w:cs="Arial" w:eastAsia="Arial" w:hAnsi="Arial"/>
                <w:sz w:val="18"/>
                <w:szCs w:val="18"/>
                <w:color w:val="auto"/>
                <w:w w:val="95"/>
              </w:rPr>
              <w:t>Chairman of the Board and Chief Executive Officer (principal</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540" w:type="dxa"/>
            <w:vAlign w:val="bottom"/>
          </w:tcPr>
          <w:p>
            <w:pPr>
              <w:spacing w:after="0"/>
              <w:rPr>
                <w:sz w:val="20"/>
                <w:szCs w:val="20"/>
                <w:color w:val="auto"/>
              </w:rPr>
            </w:pPr>
          </w:p>
        </w:tc>
      </w:tr>
      <w:tr>
        <w:trPr>
          <w:trHeight w:val="445"/>
        </w:trPr>
        <w:tc>
          <w:tcPr>
            <w:tcW w:w="4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540" w:type="dxa"/>
            <w:vAlign w:val="bottom"/>
          </w:tcPr>
          <w:p>
            <w:pPr>
              <w:spacing w:after="0"/>
              <w:rPr>
                <w:sz w:val="18"/>
                <w:szCs w:val="18"/>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and principal financial officer)</w:t>
            </w:r>
          </w:p>
        </w:tc>
        <w:tc>
          <w:tcPr>
            <w:tcW w:w="1540" w:type="dxa"/>
            <w:vAlign w:val="bottom"/>
          </w:tcPr>
          <w:p>
            <w:pPr>
              <w:spacing w:after="0"/>
              <w:rPr>
                <w:sz w:val="20"/>
                <w:szCs w:val="20"/>
                <w:color w:val="auto"/>
              </w:rPr>
            </w:pPr>
          </w:p>
        </w:tc>
      </w:tr>
      <w:tr>
        <w:trPr>
          <w:trHeight w:val="44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 and President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607"/>
        </w:trPr>
        <w:tc>
          <w:tcPr>
            <w:tcW w:w="4500" w:type="dxa"/>
            <w:vAlign w:val="bottom"/>
          </w:tcPr>
          <w:p>
            <w:pPr>
              <w:ind w:left="5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2">
            <w:col w:w="4260" w:space="720"/>
            <w:col w:w="6160"/>
          </w:cols>
          <w:pgMar w:left="320" w:top="486" w:right="4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13</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left="4" w:right="140"/>
        <w:spacing w:after="0" w:line="285" w:lineRule="auto"/>
        <w:rPr>
          <w:sz w:val="20"/>
          <w:szCs w:val="20"/>
          <w:color w:val="auto"/>
        </w:rPr>
      </w:pPr>
      <w:r>
        <w:rPr>
          <w:rFonts w:ascii="Arial" w:cs="Arial" w:eastAsia="Arial" w:hAnsi="Arial"/>
          <w:sz w:val="16"/>
          <w:szCs w:val="16"/>
          <w:color w:val="auto"/>
        </w:rPr>
        <w:t>This Annual Report on Form 10-K contains or incorporates by reference statements that are not historical in nature and that are intended to be, and are hereby identified as, “forward-looking statements” as defined in the Private Securities Litigation Reform Act of 1995. Statements which are not historical in nature, including the words “anticipate,” “estimate,” “could,” “should,” “may,” “plan,” “seek,” “expect,” “believe,” “intend,” “target,” “will,” “project,” “focused,” “outlook,” “goal,” “designed,” and variations of these words and negatives thereof and similar expressions are intended to identify forward-looking statements, including statements regarding, among others, (i) economic conditions, (ii) business and acquisition strategies,</w:t>
      </w:r>
    </w:p>
    <w:p>
      <w:pPr>
        <w:spacing w:after="0" w:line="2" w:lineRule="exact"/>
        <w:rPr>
          <w:sz w:val="20"/>
          <w:szCs w:val="20"/>
          <w:color w:val="auto"/>
        </w:rPr>
      </w:pPr>
    </w:p>
    <w:p>
      <w:pPr>
        <w:jc w:val="both"/>
        <w:ind w:left="4" w:right="80" w:hanging="4"/>
        <w:spacing w:after="0" w:line="295" w:lineRule="auto"/>
        <w:tabs>
          <w:tab w:leader="none" w:pos="3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acquisitions and/or joint ventures and investments in unconsolidated entities, (iv) financing plans, and (v) industry, demographic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w:t>
      </w:r>
    </w:p>
    <w:p>
      <w:pPr>
        <w:spacing w:after="0" w:line="39" w:lineRule="exact"/>
        <w:rPr>
          <w:rFonts w:ascii="Arial" w:cs="Arial" w:eastAsia="Arial" w:hAnsi="Arial"/>
          <w:sz w:val="16"/>
          <w:szCs w:val="16"/>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general economic conditions, both in the United States and in the international markets we serve;</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competitive factors within the HVAC/R industry;</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effects of supplier concentration, including conditions that impact the supply chain;</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fluctuations in certain commodity costs;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consumer spending;</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resurgence of the COVID-19 pandemic;</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new housing starts and completions;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capital spending in the commercial construction market;</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access to liquidity needed for operations;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seasonal nature of product sales;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weather patterns and conditions;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insurance coverage risks;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federal, state, and local regulations impacting our industry and products;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effect of inflation;</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international risk;</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cybersecurity risk; and</w:t>
      </w:r>
    </w:p>
    <w:p>
      <w:pPr>
        <w:spacing w:after="0" w:line="103"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continued viability of our business strategy.</w:t>
      </w:r>
    </w:p>
    <w:p>
      <w:pPr>
        <w:spacing w:after="0" w:line="185"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the discussion included in Item 1A “Risk Factors” of this Annual Report on Form 10-K, as well as the other documents and reports that we file with the SEC. Forward-looking statements speak only as of the date the statements were made. We assume 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spacing w:after="0" w:line="150"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discussion summarizes the significant factors affecting our consolidated operating results, financial condition and liquidity for the year ended December 31, 2022. This discussion should be read in conjunction with the information contained in Item 1A, “Risk Factors” and the consolidated financial statements, including the notes thereto, included under Item 8, “Financial Statements and Supplementary Data” of this Annual Report on Form 10-K for the year ended December 31, 2022.</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Watsco, Inc. was incorporated in Florida in 1956, and, together with its subsidiaries (collectively, “Watsco,” or “we,” “us,” or “our”) is the largest distributor of air conditioning, heating, and refrigeration equipment, and related parts and supplies (“HVAC/R”) in the HVAC/R distribution industry in North America. At December 31, 2022, we operated from 673 locations in 42 U.S. States, Canada, Mexico, and Puerto Rico with additional market coverage on an export basis to portions of Latin America and the Caribbean.</w:t>
      </w:r>
    </w:p>
    <w:p>
      <w:pPr>
        <w:spacing w:after="0" w:line="18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Revenues primarily consist of sales of air conditioning, heating, and refrigeration equipment, and related parts and supplies. Selling, general and administrative expenses primarily consist of selling expenses, the largest components of which are salaries, commissions, and marketing expenses that are variable and correlate to changes in sales. Other significant selling, general and administrative expenses relate to the operation of warehouse facilities, including a fleet of trucks and forklifts, and facility rent, a majority of which we operate under non-cancelable operating leases.</w:t>
      </w:r>
    </w:p>
    <w:p>
      <w:pPr>
        <w:spacing w:after="0" w:line="15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we serve tends to be fairly evenly distributed throughout the year and depends largely on housing completions and related weather and economic conditions.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 and Economic and Marketplace Dynamics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Since COVID-19 was declared a pandemic in March 2020, it has had, and could continue to have, widespread impacts on global financial markets and business practices. Although we learned to navigate COVID-19 while maintaining our operations in all material respects, the pandemic impacted our operations, and the operations of our customers and suppliers throughout 2020 and into 2021. However, as the effects of the pandemic have continued to lessen with the normalization of living with COVID-19 following the increase in accessibility to COVID-19 vaccines and antiviral treatments, the impact of the pandemic on our business has been more reflective of greater economic and marketplace dynamics, which include inflation, supply chain disruptions, and labor shortages, rather than pandemic-related issues, such as quarantines, location closures, mandated restrictions, employee illnesses, and travel restrictions.</w:t>
      </w:r>
    </w:p>
    <w:p>
      <w:pPr>
        <w:spacing w:after="0" w:line="19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Certain of our manufacturers and suppliers continue to experience some level of supply chain disruptions caused by component availability, labor shortages, transportation delays, and other logistical challenges, resulting in longer lead times and constrained availability of HVAC/R products. These supply chain disruptions impacted our ability to fulfill contractor demand at various points during 2022 and we estimate the impact was approximately 3% to 4% of lost revenues. We cannot reasonably estimate the future impact of supply chain disruptions to the extent that these disruptions become more pronounced than current conditions. Despite these disruptions, we experienced growth in sales during 2022.</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continue to take proactive steps to limit the impact of these disruptions and are working closely with our suppliers to ensure availability of products.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Also, we continue to actively monitor the situation and may take further actions that alter our business.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Climate Change and Reductions in CO</w:t>
      </w:r>
      <w:r>
        <w:rPr>
          <w:rFonts w:ascii="Arial" w:cs="Arial" w:eastAsia="Arial" w:hAnsi="Arial"/>
          <w:sz w:val="22"/>
          <w:szCs w:val="22"/>
          <w:b w:val="1"/>
          <w:bCs w:val="1"/>
          <w:color w:val="auto"/>
          <w:vertAlign w:val="subscript"/>
        </w:rPr>
        <w:t>2</w:t>
      </w:r>
      <w:r>
        <w:rPr>
          <w:rFonts w:ascii="Arial" w:cs="Arial" w:eastAsia="Arial" w:hAnsi="Arial"/>
          <w:sz w:val="18"/>
          <w:szCs w:val="18"/>
          <w:b w:val="1"/>
          <w:bCs w:val="1"/>
          <w:color w:val="auto"/>
        </w:rPr>
        <w:t>e Emissions</w:t>
      </w:r>
    </w:p>
    <w:p>
      <w:pPr>
        <w:spacing w:after="0" w:line="129"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We believe that our business plays an important and significant role in the drive to lower CO2e emissions. According to the DOE, heating and air conditioning accounts for roughly half of household energy consumption in the United States. As such, replacing older, less efficient HVAC systems with higher efficiency systems is one of the most meaningful steps homeowners can take to reduce their electricity costs and carbon footprint.</w:t>
      </w:r>
    </w:p>
    <w:p>
      <w:pPr>
        <w:spacing w:after="0" w:line="14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overwhelming majority of new HVAC systems that we sell replace systems that likely operate below current minimum efficiency standards in the United States and may use more harmful refrigerants that have been, or are being, phased-out. As consumers replace HVAC systems with new, higher-efficiency systems, homeowners will consume less energy, save costs, and reduce their carbon footprint.</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sale of high-efficiency systems has long been a focus of ours, and we have invested in tools and technology intended to capture an increasingly richer sales mix over time. In addition, regulatory mandates will periodically increase the required minimum SEER, thus providing a catalyst for greater sales of higher-efficiency systems. Recently enacted regulations increased the current minimum SEER beginning in 2023 (in general terms, to 14 SEER from 13 SEER in the Northern U.S. and to 15 SEER from 14 SEER for the Southern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offer a broad variety of systems that operate above the minimum SEER standards, ranging from base-level efficiency to systems that exceed 20 SEER. Our sales of higher-efficiency residential HVAC systems (those above base-level efficiency) grew 18% organically in 2022, outpacing the overall growth rate of 13% for residential HVAC equipment in the United States. Based on estimates validated by independent sources, we averted an estimated 15.8 million metric tons of CO2e emissions from January 1, 2020 to December 31, 2022 through the sale of replacement residential HVAC systems at higher-efficiency standards.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Federal Tax Credits and State Incentives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Demand for higher-efficiency products, such as variable-speed systems and heat pumps, is expected to benefit from the passage of the U.S. Inflation Reduction Act of 2022 (the “IRA”) in August 2022. This legislation is intended, in part, to promote the replacement of existing systems in favor of high-efficiency heat pump systems that reduce greenhouse gas emissions, as compared to older systems, and thereby combat climate change. Programs under the IRA include enhanced tax credits for homeowners who install qualifying HVAC equipment and tax deductions for owners of commercial buildings that are upgraded to achieve defined energy savings. The IRA also sets aside $4.3 billion for state-administered consumer rebate programs designed to promote energy savings for low and medium-income households, including HVAC systems. Further details, including qualifying products, specific programs, and other regulatory requirements contemplated by the IRA are being determined and are expected to be launched during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Joint Ventures with Carrier Global Corporation</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2009, we formed a joint venture with Carrier, which we refer to as Carrier Enterprise I, in which Carrier contributed company-owned locations in the Sun Belt states and Puerto Rico, and its export division in Miami, Florida, and we contributed certain locations that distributed Carrier products. We have an 80% controlling interest in Carrier Enterprise I, and Carrier has a 20% non-controlling interest. In 2019, Carrier Enterprise I acquired substantially all of the HVAC assets and assumed certain of the liabilities of Peirce-Phelps, Inc., an HVAC distributor operating in Pennsylvania, New Jersey, and Delaware. Carrier Enterprise I has a 38.1% ownership interest in Russell Sigler, Inc. (“RSI”), an HVAC distributor operating from 35 locations in the Western U.S.</w:t>
      </w:r>
    </w:p>
    <w:p>
      <w:pPr>
        <w:spacing w:after="0" w:line="19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export division of Carrier Enterprise I, Carrier InterAmerica Corporation (“CIAC”), redomesticated from the U.S. Virgin Islands to Delaware in 2019, following which CIAC became a separate operating entity in which we have an 80% controlling interest and Carrier has a 20% non-controlling interest.</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2011, we formed a second joint venture with Carrier, which we refer to as Carrier Enterprise II, in which Carrier contributed company-owned locations in the Northeast U.S., and we contributed certain locations operating as Homans Associates LLC (“Homans”), a Watsco subsidiary, in the Northeast U.S. Subsequently, Carrier Enterprise II purchased Carrier’s distribution operations in Mexico. We have an 80% controlling interest in Carrier Enterprise II, and Carrier has a 20% non-controlling interest. In 2019, we repurchased the 20% ownership interest in Homans from Carrier Enterprise II and have since solely owned and operated Homans.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2012, we formed a third joint venture with Carrier, which we refer to as Carrier Enterprise III, to which Carrier contributed company-owned locations in Canada. We have a 60% controlling interest in Carrier Enterprise III, and Carrier has a 40% non-controlling interest.</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April 2021, we acquired certain assets and assumed certain liabilities comprising the HVAC distribution business of Temperature Equipment Corporation, an HVAC distributor operating from Illinois, Indiana, Kansas, Michigan, Minnesota, Missouri, and Wisconsin. We formed a new joint venture with Carrier, TEC Distribution LLC (“TEC”), that operates this business. We have an 80% controlling interest in TEC, and Carrier has a 20% non-controlling interest.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the consolidated financial statements, which have been prepared in accordance with U.S. generally accepted accounting principles. The preparation of these consolidated financial statements requires management to make estimates and assumptions that affect the reported amounts of assets and liabilities, disclosure of contingent assets and liabilities at the date of the consolidated financial statements, and the reported amount of revenues and expenses during the reporting period. Actual results may differ from these estimates under different assumptions or conditions. At least quarterly, management reevaluates its judgments and estimates, which are based on historical experience, current trends, and various other assumptions that are believed to be reasonable under the circumstances.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Our significant accounting policies are discussed in Note 1 to our audited consolidated financial statements included in this Annual Report on Form 10-K. Management believes that the following accounting estimates include a higher degree of judgment and/or complexity and are reasonably likely to have a material impact on our financial condition or results of operations and, thus, are considered critical accounting estimates. Management has discussed the development and selection of critical accounting estimates with the Audit Committee of the Board of Directors and the Audit Committee has reviewed the disclosures relating to critical accounting estimates.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Allowance for Doubtful Accounts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 allowance for doubtful accounts is maintained for estimated losses resulting from the inability of customers to make required payments. We typically do not require our customers to provide collateral. Accounting for doubtful accounts contains uncertainty because management must use judgment to assess the collectability of these accounts. When preparing these estimates, management considers several factors, including the aging of a customer’s account, past transactions with customers, creditworthiness of specific customers, historical trends, and other information, including potential impacts of business and economic conditions. Our business and our customers’ businesses are seasonal. Sales are lowest during the first and fourth quarters, and past due accounts receivable balances as a percentage of total trade receivables generally increase during these quarters. We review our accounts receivable reserve policy periodically, reflecting current risks, trends, and changes in industry conditions.</w:t>
      </w:r>
    </w:p>
    <w:p>
      <w:pPr>
        <w:spacing w:after="0" w:line="16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allowance for doubtful accounts was $18.3 million and $11.3 million at December 31, 2022 and 2021, respectively, an increase of $7.0 million, which was primarily due to a single account delinquent in their payments at December 31, 2022. Accounts receivable balances greater than 90 days past due as a percent of accounts receivable at December 31, 2022 increased to 2.4% from 0.9% at December 31, 2021, which was primarily attributable to the account referenced.</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Although we believe the allowance for doubtful accounts is sufficient, a decline in economic conditions could lead to the deterioration in the financial condition of our customers, resulting in an impairment of their ability to make payments and requiring additional allowances that could materially impact our consolidated results of operations. We believe our exposure to customer credit risk is limited due to the large number of customers comprising our customer base and their dispersion across many different geographical regions. Additionally, we mitigate credit risk through credit insurance programs.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Inventory Valuation Reserves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Inventory valuation reserves are established to report inventories at the lower of cost using the weighted-average and the first-in, first-out methods, or net realizable value. As part of the valuation process, inventories are adjusted to reflect excess, slow-moving, and damaged goods. The valuation process contains uncertainty because management must make estimates and use judgment to determine the future salability of inventories. Inventory policies are reviewed periodically, reflecting current risks, trends, and changes in industry conditions. A reserve for estimated inventory shrinkage is maintained and reflects the results of cycle count programs and physical inventories. When preparing these estimates, management considers historical results, inventory levels, and current operating trends.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Valuation of Goodwill, Indefinite Lived Intangible Assets and Long-Lived Assets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recoverability of goodwill is evaluated at least annually and when events or changes in circumstances indicate that the carrying amount may not be recoverable. We have one reporting unit that is subject to goodwill impairment testing. In performing the goodwill impairment test, we use a two-step approach. The first step compares the reporting unit’s fair value to its carrying value. If the carrying value exceeds the fair value, a second step is performed to measure the amount of impairment loss. The identification and measurement of goodwill impairment involves the estimation of the fair value of our reporting unit and contains uncertainty because management must use judgment in determining appropriate assumptions to be used in the measurement of fair value. On January 1, 2023, we performed our annual evaluation of goodwill impairment and determined that the estimated fair value of our reporting unit exceeded its carrying value.</w:t>
      </w:r>
    </w:p>
    <w:p>
      <w:pPr>
        <w:spacing w:after="0" w:line="17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recoverability of indefinite lived intangibles and long-lived assets are also evaluated on an annual basis or more often if deemed necessary. Indefinite lived intangibles and long-lived assets not subject to amortization are assessed for impairment by comparing the fair value of the intangible asset or long-lived asset to its carrying amount to determine if a write-down to fair value is required. Our annual evaluation did not indicate any impairment of indefinite lived intangibles or long-lived assets.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The estimates of fair value of our reporting unit, indefinite lived intangibles, and long-lived assets are based on the best information available as of the date of the assessment and incorporates management’s assumptions about expected future cash flows and contemplates other valuation techniques. Future cash flows can be affected by changes in the industry, a declining economic environment, or market conditions. There have been no events or circumstances from the date of our assessments that would have had an impact on this conclusion. The carrying amounts of goodwill, intangibles, and long-lived assets were $1,189.5 million and $1,124.5 million at December 31, 2022 and 2021, respectively, an increase of $65.0 million, primarily related to higher renewal lease rates of our warehouse facilities. Although no impairment losses have been recorded to date, there can be no assurance that impairments will not occur in the future. An adjustment to the carrying value of goodwill, intangibles, and long-lived assets could materially adversely impact the consolidated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Loss Contingencies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Accruals are recorded for various contingencies including self-insurance, legal proceedings, environmental matters, and other claims that arise in the normal course of business. The estimation process contains uncertainty because accruals are based on judgment, the probability of losses and, where applicable, the consideration of opinions of external legal counsel and actuarially determined estimates. Additionally, we record receivables from third party insurers when recovery has been determined to be probable.</w:t>
      </w:r>
    </w:p>
    <w:p>
      <w:pPr>
        <w:spacing w:after="0" w:line="18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Self-insurance reserves are maintained relative to company-wide casualty insurance and health benefit programs. The level of exposure from catastrophic events is limited by the purchase of stop-loss and aggregate liability reinsurance coverage. When estimating the self-insurance liabilities and related reserves, management considers several factors, which include historical claims experience, demographic factors, severity factors, and valuations provided by independent third-party actuaries. Management reviews its assumptions with its independent third-party actuaries to evaluate whether self-insurance reserves are adequate. If actual claims or adverse development of loss reserves occur and exceed these estimates, additional reserves may be required and could materially impact the consolidated results of operations. The estimation process contains uncertainty since management must use judgment to estimate the ultimate cost that will be incurred to settle reported claims and unreported claims for incidents incurred but not reported as of the balance sheet date. Reserves in the amounts of $12.3 million and $7.3 million at December 31, 2022 and 2021, respectively, were established related to such insurance programs. The increase in self-insurance reserves was primarily due to the severity and frequency of claims reported during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reporting basis and the tax basis of assets and liabilities at enacted tax rates expected to be in effect when such amounts are recovered or settled. The use of estimates by management is required to determine income tax expense, deferred tax assets, and any related valuation allowance and deferred tax liabilities. A valuation allowance of $8.2 million and $5.1 million was recorded at December 31, 2022 and 2021, respectively. The increase was primarily attributable to the impact on U.S. deferred tax assets from share-based compensation deduction limitations related to the expansion of IRC Section 162(m). See Note 9 to our audited consolidated financial statements included in this Annual Report on Form 10-K. The valuation allowance is based on several factors including, but not limited to, estimates of future taxable income by jurisdiction in which the deferred tax assets will be recoverable. These estimates can be affected by several factors, including changes to tax laws, or possible tax audits, or general economic conditions, or competitive pressures that could affect future taxable income. Although management believes that the estimates are reasonable, the deferred tax asset and any related valuation allowance will need to be adjusted if management’s estimates of future taxable income differ from actual taxable income. An adjustment to the deferred tax asset and any related valuation allowance could materially impact the consolidated results of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were no new accounting standards made effective during 2022 that have significance, or potential significance, to our consolidated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information derived from our audited consolidated statements of income, expressed as a percentage of revenues, for the years ended December 31, 2022, 2021, and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Net income attributable to Watsco, Inc.</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Due to rounding, percentages may not total 100.</w:t>
      </w:r>
    </w:p>
    <w:p>
      <w:pPr>
        <w:spacing w:after="0" w:line="22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following narratives reflect our acquisitions of Makdad Industrial Supply Co., Inc. (“MIS”) in August 2021, Acme Refrigeration of Baton Rouge LLC (“ACME”) in May 2021, and Temperature Equipment Corporation in April 2021. We did not acquire any businesses during 2022.</w:t>
      </w:r>
    </w:p>
    <w:p>
      <w:pPr>
        <w:spacing w:after="0" w:line="146"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In the following narratives, computations and other information referring to “same-store basis” exclude the effects of locations closed, acquired, or locations opened, in each case during the immediately preceding 12 months, unless such locations are within close geographical proximity to existing locations. At December 31, 2022 and 2021, eight and four locations, respectively, that we opened during the immediately preceding 12 months were near existing locations and were therefore included in “same-store basis” information.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changes in our locations for 2022 and 2021:</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Locations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Opened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Acquired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Closed</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Opened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Tax Benefit from Fourth Quarter Vesting of Restricted Stock</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2022 results reflect the vesting of 975,622 shares of Class B restricted stock previously granted to our Chief Executive Officer (“CEO”) during the period from 1997 to 2011. The vesting occurred on October 15, 2022 and provided a $49.0 million tax benefit and $3.6 million in incremental selling, general and administrative expenses, primarily related to employment taxes. The net benefit to 2022 diluted earnings per share was $1.21. Due to the infrequent nature of this event, certain key performance metrics in 2022 are presented on an “adjusted basis” to exclude the impact. Please see “Non-GAAP Financial Measures”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Compared to 2021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Revenues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40" w:type="dxa"/>
            <w:vAlign w:val="bottom"/>
            <w:gridSpan w:val="4"/>
          </w:tcPr>
          <w:p>
            <w:pPr>
              <w:ind w:left="100"/>
              <w:spacing w:after="0"/>
              <w:rPr>
                <w:sz w:val="20"/>
                <w:szCs w:val="20"/>
                <w:color w:val="auto"/>
              </w:rPr>
            </w:pPr>
            <w:r>
              <w:rPr>
                <w:rFonts w:ascii="Arial" w:cs="Arial" w:eastAsia="Arial" w:hAnsi="Arial"/>
                <w:sz w:val="14"/>
                <w:szCs w:val="14"/>
                <w:color w:val="auto"/>
              </w:rPr>
              <w:t>Year Ended December 31,</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$ 7,274.3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$ 6,280.2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87"/>
              </w:rPr>
              <w:t>$994.1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p>
    <w:p>
      <w:pPr>
        <w:sectPr>
          <w:pgSz w:w="11900" w:h="16838" w:orient="portrait"/>
          <w:cols w:equalWidth="0" w:num="1">
            <w:col w:w="11080"/>
          </w:cols>
          <w:pgMar w:left="320" w:top="486" w:right="499" w:bottom="1440" w:gutter="0" w:footer="0" w:header="0"/>
        </w:sectPr>
      </w:pPr>
    </w:p>
    <w:p>
      <w:pPr>
        <w:jc w:val="center"/>
        <w:ind w:right="-15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80"/>
          </w:cols>
          <w:pgMar w:left="320" w:top="486" w:right="4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increase in revenues for 2022 included $104.2 million attributable to new locations acquired and $32.7 million from other locations opened during the preceding 12 months, offset by $13.0 million from locations closed.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our revenues by major product lines and related percentage change from the prior year:</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8"/>
          </w:tcPr>
          <w:p>
            <w:pPr>
              <w:jc w:val="center"/>
              <w:ind w:right="560"/>
              <w:spacing w:after="0"/>
              <w:rPr>
                <w:sz w:val="20"/>
                <w:szCs w:val="20"/>
                <w:color w:val="auto"/>
              </w:rPr>
            </w:pPr>
            <w:r>
              <w:rPr>
                <w:rFonts w:ascii="Arial" w:cs="Arial" w:eastAsia="Arial" w:hAnsi="Arial"/>
                <w:sz w:val="14"/>
                <w:szCs w:val="14"/>
                <w:color w:val="auto"/>
                <w:w w:val="92"/>
              </w:rPr>
              <w:t>% of Sales</w:t>
            </w:r>
          </w:p>
        </w:tc>
        <w:tc>
          <w:tcPr>
            <w:tcW w:w="60" w:type="dxa"/>
            <w:vAlign w:val="bottom"/>
          </w:tcPr>
          <w:p>
            <w:pPr>
              <w:spacing w:after="0"/>
              <w:rPr>
                <w:sz w:val="14"/>
                <w:szCs w:val="14"/>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14"/>
                <w:szCs w:val="14"/>
                <w:color w:val="auto"/>
              </w:rPr>
              <w:t>% Change</w:t>
            </w:r>
          </w:p>
        </w:tc>
      </w:tr>
      <w:tr>
        <w:trPr>
          <w:trHeight w:val="167"/>
        </w:trPr>
        <w:tc>
          <w:tcPr>
            <w:tcW w:w="46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3"/>
              </w:rPr>
              <w:t>2022</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HVAC equipment</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HVAC products</w:t>
            </w:r>
          </w:p>
        </w:tc>
        <w:tc>
          <w:tcPr>
            <w:tcW w:w="3000" w:type="dxa"/>
            <w:vAlign w:val="bottom"/>
            <w:gridSpan w:val="5"/>
          </w:tcPr>
          <w:p>
            <w:pPr>
              <w:jc w:val="right"/>
              <w:ind w:right="140"/>
              <w:spacing w:after="0"/>
              <w:rPr>
                <w:sz w:val="20"/>
                <w:szCs w:val="20"/>
                <w:color w:val="auto"/>
              </w:rPr>
            </w:pPr>
            <w:r>
              <w:rPr>
                <w:rFonts w:ascii="Arial" w:cs="Arial" w:eastAsia="Arial" w:hAnsi="Arial"/>
                <w:sz w:val="18"/>
                <w:szCs w:val="18"/>
                <w:color w:val="auto"/>
              </w:rPr>
              <w:t>28%</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840" w:type="dxa"/>
            <w:vAlign w:val="bottom"/>
            <w:gridSpan w:val="3"/>
          </w:tcPr>
          <w:p>
            <w:pPr>
              <w:jc w:val="right"/>
              <w:ind w:right="328"/>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Commercial refrigeration products</w:t>
            </w:r>
          </w:p>
        </w:tc>
        <w:tc>
          <w:tcPr>
            <w:tcW w:w="3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373"/>
        </w:trPr>
        <w:tc>
          <w:tcPr>
            <w:tcW w:w="4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80" w:type="dxa"/>
            <w:vAlign w:val="bottom"/>
            <w:gridSpan w:val="9"/>
          </w:tcPr>
          <w:p>
            <w:pPr>
              <w:jc w:val="center"/>
              <w:ind w:right="260"/>
              <w:spacing w:after="0"/>
              <w:rPr>
                <w:sz w:val="20"/>
                <w:szCs w:val="20"/>
                <w:color w:val="auto"/>
              </w:rPr>
            </w:pPr>
            <w:r>
              <w:rPr>
                <w:rFonts w:ascii="Arial" w:cs="Arial" w:eastAsia="Arial" w:hAnsi="Arial"/>
                <w:sz w:val="14"/>
                <w:szCs w:val="14"/>
                <w:color w:val="auto"/>
                <w:w w:val="91"/>
              </w:rPr>
              <w:t>Year Ended December 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7"/>
        </w:trPr>
        <w:tc>
          <w:tcPr>
            <w:tcW w:w="4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Same-store sales</w:t>
            </w:r>
          </w:p>
        </w:tc>
        <w:tc>
          <w:tcPr>
            <w:tcW w:w="2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$ 7,137.4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$ 6,267.2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87"/>
              </w:rPr>
              <w:t>$870.2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our revenues by major product lines on a same-store basis and related percentage change from the prior year:</w:t>
      </w:r>
    </w:p>
    <w:p>
      <w:pPr>
        <w:spacing w:after="0" w:line="24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4"/>
                <w:szCs w:val="14"/>
                <w:color w:val="auto"/>
              </w:rPr>
              <w:t>% of Same-Store Sales</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8"/>
              </w:rPr>
              <w:t>% Change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6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7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2022</w:t>
            </w: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HVAC equipment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9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HVAC products</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388"/>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Commercial refrigeration products</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a same-store basis, sales of HVAC equipment included a 12% increase in residential HVAC equipment (13% increase in U.S. markets and flat in international markets) and an 18% increase in sales of commercial HVAC equipment (18% increase in U.S. markets and a 17% increase in international markets).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HVAC equipment, the increase in revenues was primarily due to the realization of price increases and a higher mix of high-efficiency air conditioning and heating systems, which sell at higher unit prices, resulting in a 13% increase in the average selling price and flat unit volume, as well as higher sales of commercial HVAC equipment.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Gross Profit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4"/>
                <w:szCs w:val="14"/>
                <w:color w:val="auto"/>
                <w:w w:val="97"/>
              </w:rPr>
              <w:t>Year Ended December 31,</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$2,030.3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$1,667.5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87"/>
              </w:rPr>
              <w:t>$362.8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26.6%</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Gross profit for 2022 increased primarily as a result of increased revenues. Gross profit margin improved 130 basis-points primarily due to the impact of pricing and sales mix for residential HVAC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4"/>
                <w:szCs w:val="14"/>
                <w:color w:val="auto"/>
                <w:w w:val="97"/>
              </w:rPr>
              <w:t>Year Ended December 31,</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$1,221.4</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$1,058.3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87"/>
              </w:rPr>
              <w:t>$163.1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Selling, general and administrative expenses as a percentage of revenues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Selling, general and administrative expenses for 2022 increased primarily due to increased revenues. On a same-store basis, selling, general and administrative expenses increased 13% as compared to 2021 and as a percentage of sales decreased to 16.7% versus 16.8% in 2021, primarily due to increased leverage on fixed costs driven by increased revenues.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Income</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Other income of $22.7 million and $19.3 million for 2022 and 2021, respectively, represented our share of the net income of RSI, in which we have a 38.1% equity interest.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Operating Income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color w:val="auto"/>
                <w:w w:val="96"/>
              </w:rPr>
              <w:t>Year Ended December 31,</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$ 831.6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628.5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87"/>
              </w:rPr>
              <w:t>$203.1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margin</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 same-store basis operating income grew 31% and operating margin was 11.5% in 2022 as compared to 10.0% in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Interest Expense, Net</w:t>
      </w:r>
    </w:p>
    <w:p>
      <w:pPr>
        <w:spacing w:after="0" w:line="11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Interest expense, net for 2022 increased $1.2 million, or 117%, to $2.2 million, primarily as a result of an increase in average outstanding borrowings at a higher effective interest rate, in each case under our revolving credit facility, for the 2022 period as compared to the same period in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Income Taxes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4"/>
                <w:szCs w:val="14"/>
                <w:color w:val="auto"/>
                <w:w w:val="95"/>
              </w:rPr>
              <w:t>Year Ended December 31,</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128.8</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3"/>
              </w:rPr>
              <w:t>$(3.1)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Income taxes represent a composite of the income taxes attributable to our wholly owned operations and income taxes attributable to the Carrier joint ventures, which are primarily taxed as partnerships for income tax purposes; therefore, Carrier is responsible for its proportionate share of income taxes attributable to its share of earnings from these joint ventures. The decrease in the effective income tax rate was primarily due to the increase in share-based compensation deduction resulting from the vesting of 975,622 shares of Class B restricted stock on October 15, 2022 and provided a $49.0 million tax benefit that lowered our effective income tax rate. The share-based compensation deduction was partially offset by the addition of a valuation allowance on the deferred tax asset related to share-based compensation, and higher state income taxes in 2022 as compared to those related to the share-based compensation deduction in 2021.</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Net Income Attributable to Watsco, Inc.</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Net income attributable to Watsco in 2022 increased $182.2 million, or 43%, to $601.2 million. The increase was primarily driven by higher revenues, expanded profit margins, and lower income taxes, partially offset by higher selling, general and administrative expenses and an increase in the net income attributable to the non-controlling interest.</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Refer to “Management’s Discussion and Analysis of Financial Condition and Results of Operations” in our Annual Report on Form 10-K for the year ended December 31, 2021 for a discussion of results of operations for the year ended December 31, 2021 compared to the year ended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disclose operating income, operating margin, and diluted earnings per share on an adjusted, non-GAAP basis to exclude the impact caused by the vesting of restricted stock on October 15, 2022 as described above. We believe that these adjusted, non-GAAP financial measures provide greater comparability regarding our ongoing operating performance. These measures should not be considered an alternative to measurements required by U.S. GAAP.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operating income, a GAAP measure, to operating income on an adjusted basis, a non-GAAP measure is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80" w:type="dxa"/>
            <w:vAlign w:val="bottom"/>
            <w:gridSpan w:val="4"/>
          </w:tcPr>
          <w:p>
            <w:pPr>
              <w:jc w:val="right"/>
              <w:ind w:right="38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67"/>
        </w:trPr>
        <w:tc>
          <w:tcPr>
            <w:tcW w:w="62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$831,578</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$628,528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Primarily employment taxes related to the vesting of restricted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on an adjusted basis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835,214</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628,528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Operating margin on an adjusted basis</w:t>
            </w: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reconciliation of diluted earnings per share for Common and Class B common stock, a GAAP measure, to diluted earnings per share for Common and Class B common stock on an adjusted basis, a non-GAAP measure is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ind w:left="40"/>
              <w:spacing w:after="0"/>
              <w:rPr>
                <w:sz w:val="20"/>
                <w:szCs w:val="20"/>
                <w:color w:val="auto"/>
              </w:rPr>
            </w:pPr>
            <w:r>
              <w:rPr>
                <w:rFonts w:ascii="Arial" w:cs="Arial" w:eastAsia="Arial" w:hAnsi="Arial"/>
                <w:sz w:val="14"/>
                <w:szCs w:val="14"/>
                <w:color w:val="auto"/>
                <w:w w:val="96"/>
              </w:rPr>
              <w:t>Year Ended December 31,</w:t>
            </w:r>
          </w:p>
        </w:tc>
      </w:tr>
      <w:tr>
        <w:trPr>
          <w:trHeight w:val="167"/>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for Common and Class B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Primarily employment taxes related to the vesting of restricted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related benefit from the vesting of restricted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w w:val="94"/>
              </w:rPr>
              <w:t>Diluted earnings per share for Common and Class B common stock on an adjusted basis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We assess our liquidity in terms of our ability to generate cash to execute our business strategy and fund operating and investing activities, taking into consideration the seasonal demand for HVAC/R products, which peaks in the months of May through August. Significant factors that could affect our liquidity include the following:</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needed to fund our business (primarily working 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borrowing capacity under our revolving credit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attract long-term capital with satisfactory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including joint ventures and investments in unconsolidated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extent of common stock repurchases.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Sources and Uses of Cash</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rely on cash flows from operations and borrowing capacity under our revolving credit agreement to fund seasonal working capital needs and for other general corporate purposes in the short-term and the long-term, including dividend payments (if and as declared by our Board of Directors), capital expenditures, business acquisitions, and development of our long-term operating and technology strategies. Additionally, we may also generate cash through the issuance and sale of our Common stock.</w:t>
      </w:r>
    </w:p>
    <w:p>
      <w:pPr>
        <w:spacing w:after="0" w:line="18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As of December 31, 2022, we had $147.5 million of cash and cash equivalents, of which $124.9 million was held by foreign subsidiaries. The repatriation of cash balances from our foreign subsidiaries could have adverse tax impacts or be subject to capital controls; however, these balances are generally available to fund the ordinary business operations of our foreign subsidiaries without legal restrictions.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believe that our operating cash flows, cash on hand, funds available for borrowing under our revolving credit agreement, and funds available from sales of our Common stock under our ATM Program (as defined below), each of which is described below, will be sufficient to meet our liquidity needs for the foreseeable future. However, there can be no assurance that our current sources of available funds will be sufficient to meet our cash requirements.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Our access to funds under our revolving credit agreement depends on the ability of the syndicate banks to meet their respective funding commitments. Disruptions in the credit and capital markets could adversely affect our ability to draw on our revolving credit agreement and may also adversely affect the determination of interest rates, particularly rates based on LIBOR, which is one of the base rates under our revolving credit agreement. On March 5, 2021, the United Kingdom Financial Conduct Authority, which regulates LIBOR, confirmed that LIBOR will either cease to be provided by any administrator or will no longer be representative after June 30, 2023 for USD LIBOR reference rates. The U.S. Federal Reserve has selected the Secured Overnight Funding Rate (“SOFR”) as the preferred alternate rate to LIBOR. Our revolving credit agreement provides that it may be amended to replace LIBOR with an alternate benchmark rate including SOFR. SOFR is calculated differently from LIBOR and has inherent differences, including SOFR’s limited historical data and that LIBOR is an unsecured lending rate while SOFR is a secured lending rate, which could give rise to uncertainties and volatility in the benchmark rates. While we continue to evaluate the potential impact of a transition to SOFR, these changes could result in interest obligations that are more than or do not otherwise correlate exactly over time with the payments that would have been made on such debt if LIBOR was available in its current form, including a potential increase in our overall interest expense. Additionally, disruptions in the credit and capital markets could also result in increased borrowing costs and/or reduced borrowing capacity under our revolving credit agreement.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Working Capital</w:t>
      </w:r>
    </w:p>
    <w:p>
      <w:pPr>
        <w:spacing w:after="0" w:line="117" w:lineRule="exact"/>
        <w:rPr>
          <w:sz w:val="20"/>
          <w:szCs w:val="20"/>
          <w:color w:val="auto"/>
        </w:rPr>
      </w:pPr>
    </w:p>
    <w:p>
      <w:pPr>
        <w:jc w:val="both"/>
        <w:ind w:left="120" w:right="100"/>
        <w:spacing w:after="0" w:line="287" w:lineRule="auto"/>
        <w:rPr>
          <w:sz w:val="20"/>
          <w:szCs w:val="20"/>
          <w:color w:val="auto"/>
        </w:rPr>
      </w:pPr>
      <w:r>
        <w:rPr>
          <w:rFonts w:ascii="Arial" w:cs="Arial" w:eastAsia="Arial" w:hAnsi="Arial"/>
          <w:sz w:val="16"/>
          <w:szCs w:val="16"/>
          <w:color w:val="auto"/>
        </w:rPr>
        <w:t>Working capital increased to $1,392.2 million at December 31, 2022 from $1,234.7 million at December 31, 2021, due to: (i) higher inventory balances primarily due to the general impact of inflation, greater inventory requirements in preparation for the required transition to higher minimum efficiency level for residential HVAC systems effective January 1, 2023, and more extensive inventories in response to various supply chain disruptions; and</w:t>
      </w:r>
    </w:p>
    <w:p>
      <w:pPr>
        <w:spacing w:after="0" w:line="2" w:lineRule="exact"/>
        <w:rPr>
          <w:sz w:val="20"/>
          <w:szCs w:val="20"/>
          <w:color w:val="auto"/>
        </w:rPr>
      </w:pPr>
    </w:p>
    <w:p>
      <w:pPr>
        <w:ind w:left="120" w:right="180" w:hanging="4"/>
        <w:spacing w:after="0" w:line="290" w:lineRule="auto"/>
        <w:tabs>
          <w:tab w:leader="none" w:pos="3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accounts receivable consistent with overall increased sales, which were offset by an increase in accounts payable and accrued liabilities and the reclassification of borrowings under our revolving credit agreement, which matures in December 2023, as current.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 activity for 2022 and 2021 (in millions):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$ 349.6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(33.8)</w:t>
            </w: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$(148.6)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(504.0)</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$(228.6)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(275.4)</w:t>
            </w: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individual items contributing to cash flow changes for the years presented are detailed in the audited consolidated statements of cash flows included in this Annual Report on Form 10-K.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increase in net cash provided by operating activities was primarily due to higher net income and accounts receivable collections, partially offset by increases in the level of inventory and timing of vendor payments in 2022 as compared to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Net cash used in investing activities was lower in 2022 primarily due to cash consideration paid for businesses acquired in 2021, whereas we acquired no businesses in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increase in net cash used in financing activities was primarily attributable to an increase in dividends paid, the payment of withholding tax obligations primarily upon the vesting of restricted stock previously granted to our CEO, and higher borrowings under our revolving credit agreement in 2022, partially offset by proceeds from the non-controlling interest for its contribution to the acquisition of TEC in 2021.</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Revolving Credit Agreement</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maintain an unsecured, $560.0 million syndicated multicurrency revolving credit agreement, which we use to fund seasonal working capital needs and for other general corporate purposes, including acquisitions, dividends (if and as declared by our Board of Directors), capital expenditures, stock repurchases and issuances of letters of credit. The credit facility has a seasonal component from October 1 to March 31, during which the borrowing capacity may be reduced to $460.0 million at our discretion (which effectively reduces fees payable in respect of the unused portion of the commitment), and we effected this reduction in 2021. Included in the credit facility are a $100.0 million swingline subfacility, a $10.0 million letter of credit subfacility, a $75.0 million alternative currency borrowing sublimit and an $8.0 million Mexican borrowing sublimit.</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86" w:right="4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revolving credit agreement matures on December 5, 2023, and accordingly, borrowings outstanding under the revolving credit agreement are classified as current liabilities in our consolidated balance sheet at December 31, 2022. We believe that we will refinance the revolving credit agreement at or prior to its maturity on similar terms and subject to similar conditions.</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Borrowings under the credit facility bear interest at either LIBOR-based rates plus a spread, which ranges from 87.5 to 150.0 basis-points (LIBOR plus 87.5 basis-points at December 31, 2022), depending on our ratio of total debt to EBITDA, or on rates based on the highest of the Federal Funds Effective Rate plus 0.5%, the Prime Rate or the Eurocurrency Rate plus 1.0%, in each case plus a spread which ranges from 0 to 50.0 basis-points (0 basis-points at December 31, 2022), depending on our ratio of total debt to EBITDA. We pay a variable commitment fee on the unused portion of the commitment under the revolving credit agreement, ranging from 7.5 to 20.0 basis-points (7.5 basis-points at December 31, 2022).</w:t>
      </w:r>
    </w:p>
    <w:p>
      <w:pPr>
        <w:spacing w:after="0" w:line="16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At December 31, 2022 and December 31, 2021, $56.4 million and $89.0 million, respectively, were outstanding under the revolving credit agreement. The revolving credit agreement contains customary affirmative and negative covenants, including financial covenants with respect to consolidated leverage and interest coverage ratios, and other customary restrictions. We believe we were in compliance with all covenants at December 31, 2022.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At-the-Market Offering Program</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25, 2022, we entered into an amended and restated sales agreement with Robert W. Baird &amp; Co. Inc. and Goldman Sachs &amp; Co. LLC, which enables the Company to issue and sell shares of Common stock in one or more negotiated transactions or transactions that are deemed to be “at the market” offerings as defined in Rule 415 under the Securities Act of 1933, as amended (the “Securities Act”), for a maximum aggregate offering amount of up to $300.0 million (the “ATM Program”). The offer and sale of our Common stock pursuant to the ATM Program has been registered under the Securities Act pursuant to our automatically effective shelf registration statement on Form S-3 (File No. 333-260758). As of December 31, 2022, no shares of Common stock had been sold under the ATM Program.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At December 31, 2022, operating lease liabilities for real property, vehicles, and equipment totaled $319.3 million and expire at various dates through 2032. Refer to Note 2 to our audited consolidated financial statements included in this Annual Report on Form 10-K for information on our operating lease liabilities and related maturities.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Commercial obligations outstanding at December 31, 2022 under our revolving credit agreement consisted of borrowings totaling $56.4 million with revolving maturities of 31 days.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December 31, 2022, we were obligated under various non-cancelable purchase orders with our key suppliers for goods aggregating approximately</w:t>
      </w:r>
    </w:p>
    <w:p>
      <w:pPr>
        <w:spacing w:after="0" w:line="46"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$69.0 million, of which approximately $56.0 million is with Carrier and its affiliates. These purchase obligations represent commitments under purchase orders for goods in the ordinary course of business that are enforceable and legally binding with defined terms as to price, quantity, and delivery.</w:t>
      </w:r>
    </w:p>
    <w:p>
      <w:pPr>
        <w:spacing w:after="0" w:line="138"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total amount of unrecognized tax benefits (net of the federal benefit received from state positions) relating to various tax positions we have taken, the timing of which is uncertain, was $6.5 million at December 31, 2022. Refer to Note 9 to our audited consolidated financial statements included in this Annual Report on Form 10-K for additional information on our unrecognized tax benefits.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Refer to Note 15 to our audited consolidated financial statements included in this Annual Report on Form 10-K, under the caption “Off-Balance Sheet Financial Instruments,” for a discussion of a standby letter of credit and performance bonds for which we were contingently liable at December 31,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Investment in Unconsolidated Entity</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Carrier Enterprise I has a 38.1% ownership interest in RSI, an HVAC distributor operating from 35 locations in the Western U.S. Our proportionate share of the net income of RSI is included in other income in our consolidated statements of income.</w:t>
      </w:r>
    </w:p>
    <w:p>
      <w:pPr>
        <w:spacing w:after="0" w:line="62"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Carrier Enterprise I is a party to a shareholders’ agreement (the “Shareholders’ Agreement”) with RSI and its shareholders, consisting of five family siblings, their children and affiliates related to them. Pursuant to the Shareholders’ Agreement, RSI’s shareholders have the right to sell, and Carrier Enterprise I has the obligation to purchase, their respective shares of RSI for a purchase price determined based on the higher of book value or a multiple of EBIT, the latter of which Carrier Enterprise I used to calculate the price for its 38.1% investment held in RSI. RSI’s shareholders may transfer their respective shares of RSI common stock only to members of the Sigler family or to Carrier Enterprise I, and, at any time from and after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date on which Carrier Enterprise I owns 85% or more of RSI’s outstanding common stock, it has the right, but not the obligation, to purchase from RSI’s shareholders the remaining outstanding shares of RSI common stock. At December 31, 2022, the estimated purchase amount we would be contingently liable for was approximately $357.0 million. We believe that our operating cash flows, cash on hand, funds available for borrowing under our revolving credit agreement, or use of the ATM Program would be sufficient to purchase any additional ownership interests in RSI.</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Acquisitions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On August 20, 2021, one of our wholly owned subsidiaries acquired MIS, a distributor of air conditioning and heating products operating from six locations in Pennsylvania. Consideration for the purchase consisted of $3.2 million in cash and the issuance of 3,627 shares of Common stock having a fair value of $1.0 million, net of cash acquired of $0.2 million.</w:t>
      </w:r>
    </w:p>
    <w:p>
      <w:pPr>
        <w:spacing w:after="0" w:line="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May 7, 2021, we acquired certain assets and assumed certain liabilities of ACME, a distributor of air conditioning, heating, and refrigeration products, operating from 18 locations in Louisiana and Mississippi, for $22.9 million less certain average revolving indebtedness. Consideration for the purchase consisted of $18.1 million in cash, 8,492 shares of Common stock having a fair value of $2.6 million, and $3.1 million repayment of indebtedness, net of cash acquired of $1.3 million.</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April 9, 2021, we acquired certain assets and assumed certain liabilities comprising the HVAC distribution business of Temperature Equipment Corporation, an HVAC distributor operating from 32 locations in Illinois, Indiana, Kansas, Michigan, Minnesota, Missouri, and Wisconsin. We formed a new, stand-alone joint venture with Carrier, TEC, which operates this business. We have an 80% controlling interest in TEC, and Carrier has a 20% non-controlling interest. Consideration for the purchase was paid in cash, consisting of $105.2 million paid to Temperature Equipment Corporation (Carrier contributed $21.0 million and we contributed $84.2 million) and $1.5 million for repayment of indebtedness.</w:t>
      </w:r>
    </w:p>
    <w:p>
      <w:pPr>
        <w:spacing w:after="0" w:line="17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continually evaluate potential acquisitions and/or joint ventures and investments in unconsolidated entities. We routinely hold discussions with several acquisition candidates. Should suitable acquisition opportunities arise that would require additional financing, we believe our financial position and earnings history provide a sufficient basis for us to either obtain additional debt financing at competitive rates and on reasonable terms or raise capital through the issuance of equity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Common Stock Dividends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paid cash dividends of $8.55, $7.625, and $6.925 per share of Common stock and Class B common stock in 2022, 2021, and 2020, respectively. On January 3, 2023, our Board of Directors declared a regular quarterly cash dividend of $2.45 per share of both Common and Class B common stock that was paid on January 31, 2023 to shareholders of record as of January 17, 2023. Future dividends and/or changes in dividend rates are at the sole discretion of the Board of Directors and depend upon factors including, but not limited to, cash flow generated by operations, profitability, financial condition, cash requirements, and future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Company Share Repurchase Program</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September 1999, our Board of Directors authorized the repurchase, at management’s discretion, of up to 7,500,000 shares of common stock in the open market or via private transactions. Shares repurchased under the program are accounted for using the cost method and result in a reduction of shareholders’ equity. We last repurchased shares under this plan in 2008. In aggregate, 6,370,913 shares of Common and Class B common stock have been repurchased at a cost of $114.4 million since the inception of the program. At December 31, 2022, there were 1,129,087 shares remaining authorized for repurchase under the program. The IRA includes, among other provisions, a 1% excise tax on corporate stock repurchases in tax years beginning after December 31, 2022. In consideration of any further stock repurchases under our repurchase program, we intend to evaluate the impact of the IRA’s 1% excise tax on stock repurchases in tax years beginning after December 31, 2022.</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are exposed to market risks, including fluctuations in foreign currency exchange rates and interest rates. To manage certain of these exposures, we use derivative instruments, including forward and option contracts and swaps. We use derivative instruments as risk management tools and not for trading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Foreign Currency Exposure</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We are exposed to cash flow and earnings fluctuations resulting from currency exchange rate variations. These exposures are transactional and translational in nature. The foreign currency exchange rates to which we are exposed are the Canadian dollar and Mexican peso. Revenues in these markets accounted for 5% and 2%, respectively, of our total revenues for 2022.</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Our transactional exposure primarily relates to purchases by our Canadian operations in currencies other than their local currency. To mitigate the impact of currency exchange rate movements on these purchases, we use foreign currency forward contracts. By entering into these foreign currency forward contracts, we lock in exchange rates that would otherwise cause losses should the U.S. dollar strengthen and gains should the U.S. dollar weaken, in each case against the Canadian dollar.</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have exposure related to the translation of financial statements of our Canadian operations into U.S. dollars, our functional currency. We do not currently hold any derivative contracts that hedge our foreign currency translational exposure. A 10% change in the Canadian dollar would have had an estimated $5.1 million impact to our financial position and results of operations for 2022.</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Historically, fluctuations in these exchange rates have not materially impacted our results of operations. Our exposure to currency rate fluctuations could be material in the future if these fluctuations become significant or if our Canadian and Mexican markets grow and represent a larger percentage of our total revenues.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had only one foreign exchange contract at December 31, 2022, the total notional value of which was $3.3 million, and such contract expired during January 2023. For the year ended December 31, 2022, foreign currency transaction gains and losses did not have a material impact on our results of operations. See Note 16 to our audited consolidated financial statements included in this Annual Report on Form 10-K for further information on our derivative instruments.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Interest Rate Exposure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revolving credit facility exposes us to interest rate risk because borrowings thereunder accrue interest at one or more variable interest rates. Our interest rate risk management objectives are to limit the impact of interest rate changes on earnings and cash flows and to lower overall borrowing costs. To achieve these objectives, we consider entering into interest rate swap agreements with financial institutions that have investment grade credit ratings, thereby minimizing credit risk associated with these instruments. We do not currently hold any such swap agreements or any other derivative contracts that hedge our interest rate exposure, but we may enter into such instruments in the future.</w:t>
      </w:r>
    </w:p>
    <w:p>
      <w:pPr>
        <w:spacing w:after="0" w:line="176"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have evaluated our exposure to interest rates assuming we are fully borrowed under our $560.0 million revolving credit agreement and determined that a 100 basis-point change in interest rates would result in an impact to income before income taxes of approximately $5.6 million. See Note 8 to our audited consolidated financial statements included in this Annual Report on Form 10-K for further information about our debt.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Our internal control system was designed to provide reasonable assurance to our management and Board of Directors regarding the reliability of financial reporting and the preparation and fair presentation of our published consolidated financial statements.</w:t>
      </w:r>
    </w:p>
    <w:p>
      <w:pPr>
        <w:spacing w:after="0" w:line="14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All internal control systems, no matter how well designed, have inherent limitations. Therefore, even those systems determined to be effective may not prevent or detect misstatements and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Executive Vice President and Chief Financial Officer, we conducted an assessment of the effectiveness of our internal control over financial reporting as of December 31, 2022. The assessment was based on criteria established in the framework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(“COSO”) of the Treadway Commission. Based on this assessment under the COSO framework, our management concluded that our internal control over financial reporting was effective as of December 31, 2022. The effectiveness of our internal control over financial reporting as of December 31, 2022 has been audited by KPMG LLP, an independent registered public accounting firm, as stated in their report that is included herein.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8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Watsco, Inc.: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We have audited Watsco,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shareholders’ equity, and cash flows for each of the years in the three-year period ended December 31, 2022, and the related notes (collectively, the consolidated financial statements), and our report dated February 24, 2023 expressed an unqualified opinion on those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24, 2023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Watsco, Inc.: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Watsco, Inc. and subsidiaries (the Company) as of December 31, 2022 and 2021, the related consolidated statements of income, comprehensive income, shareholders’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2"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p>
    <w:p>
      <w:pPr>
        <w:ind w:left="120" w:right="520"/>
        <w:spacing w:after="0" w:line="260"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2023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inventory net realizable value adjustments related to excess and slow-moving inventory</w:t>
      </w:r>
    </w:p>
    <w:p>
      <w:pPr>
        <w:spacing w:after="0" w:line="117"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As discussed in Note 1 to the consolidated financial statements, the Company values its inventory at the lower of cost using weighted-average cost basis and first-in, first-out methods, or net realizable value. The Company adjusts excess, slow-moving, and damaged inventory to their estimated net realizable value. As of December 31, 2022, the Company’s inventory balance was $1,370,173 thousand.</w:t>
      </w:r>
    </w:p>
    <w:p>
      <w:pPr>
        <w:spacing w:after="0" w:line="57" w:lineRule="exact"/>
        <w:rPr>
          <w:sz w:val="20"/>
          <w:szCs w:val="20"/>
          <w:color w:val="auto"/>
        </w:rPr>
      </w:pPr>
    </w:p>
    <w:p>
      <w:pPr>
        <w:ind w:left="560" w:right="220"/>
        <w:spacing w:after="0" w:line="286" w:lineRule="auto"/>
        <w:rPr>
          <w:sz w:val="20"/>
          <w:szCs w:val="20"/>
          <w:color w:val="auto"/>
        </w:rPr>
      </w:pPr>
      <w:r>
        <w:rPr>
          <w:rFonts w:ascii="Arial" w:cs="Arial" w:eastAsia="Arial" w:hAnsi="Arial"/>
          <w:sz w:val="17"/>
          <w:szCs w:val="17"/>
          <w:color w:val="auto"/>
        </w:rPr>
        <w:t>We identified the evaluation of inventory net realizable value adjustments related to excess and slow-moving inventory as a critical audit matter due to the amount of judgment required by the Company in making such estimates. As a result, there was a high degree of subjective auditor judgment in assessing such estimates, specifically as it related to the future salability of inventories.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86"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process to estimate net realizable values related to excess and slow-moving inventory. This included controls related to the future salability of inventories, assumptions used for excess and slow-moving inventory, and the Company’s review of inventory net realizable value adjustments. We compared a selection of inventory units to historical performance to assess possible write-down indications and future salability. We performed a sensitivity analysis under various scenarios and analyzed trends of total adjustments to net realizable values in relation to total inventory to test the Company’s determination of the inventory valuation and adjustments related to excess and slow-moving inventory.</w:t>
      </w:r>
    </w:p>
    <w:p>
      <w:pPr>
        <w:spacing w:after="0" w:line="2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24, 2023</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60"/>
          </w:cols>
          <w:pgMar w:left="320" w:top="486" w:right="6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9"/>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616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7,274,344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6,280,192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5,054,928</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5,244,055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4,612,647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3,832,107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2,030,289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1,667,545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1,222,821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1,221,382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1,058,316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833,051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831,578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628,528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829,413</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76,623</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703,696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498,735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53,593</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attributable to Watsco, Inc.</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601,167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for Common and Class B common stock:</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(In thousands)</w:t>
            </w:r>
          </w:p>
        </w:tc>
        <w:tc>
          <w:tcPr>
            <w:tcW w:w="7620" w:type="dxa"/>
            <w:vAlign w:val="bottom"/>
            <w:vMerge w:val="restart"/>
          </w:tcPr>
          <w:p>
            <w:pPr>
              <w:spacing w:after="0"/>
              <w:rPr>
                <w:sz w:val="14"/>
                <w:szCs w:val="14"/>
                <w:color w:val="auto"/>
              </w:rPr>
            </w:pPr>
          </w:p>
        </w:tc>
        <w:tc>
          <w:tcPr>
            <w:tcW w:w="25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vMerge w:val="continue"/>
          </w:tcPr>
          <w:p>
            <w:pPr>
              <w:spacing w:after="0"/>
              <w:rPr>
                <w:sz w:val="11"/>
                <w:szCs w:val="11"/>
                <w:color w:val="auto"/>
              </w:rPr>
            </w:pPr>
          </w:p>
        </w:tc>
        <w:tc>
          <w:tcPr>
            <w:tcW w:w="7620" w:type="dxa"/>
            <w:vAlign w:val="bottom"/>
            <w:vMerge w:val="continue"/>
          </w:tcPr>
          <w:p>
            <w:pPr>
              <w:spacing w:after="0"/>
              <w:rPr>
                <w:sz w:val="11"/>
                <w:szCs w:val="11"/>
                <w:color w:val="auto"/>
              </w:rPr>
            </w:pPr>
          </w:p>
        </w:tc>
        <w:tc>
          <w:tcPr>
            <w:tcW w:w="68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$703,696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$498,735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$323,172</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Unrealized gain on cash flow hedging instruments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Reclassification of loss (gain) on cash flow hedging instruments into earnings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(20,305)</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683,391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499,960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329,906</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95,758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80,324</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56,144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Watsco, Inc.</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587,633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419,636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273,762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8"/>
              </w:rPr>
              <w:t>(In thousands, except share and per share data)</w:t>
            </w:r>
          </w:p>
        </w:tc>
        <w:tc>
          <w:tcPr>
            <w:tcW w:w="6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2840" w:type="dxa"/>
            <w:vAlign w:val="bottom"/>
            <w:tcBorders>
              <w:bottom w:val="single" w:sz="8" w:color="auto"/>
            </w:tcBorders>
            <w:vMerge w:val="continue"/>
          </w:tcPr>
          <w:p>
            <w:pPr>
              <w:spacing w:after="0"/>
              <w:rPr>
                <w:sz w:val="11"/>
                <w:szCs w:val="11"/>
                <w:color w:val="auto"/>
              </w:rPr>
            </w:pPr>
          </w:p>
        </w:tc>
        <w:tc>
          <w:tcPr>
            <w:tcW w:w="6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147,505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118,268</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747,110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698,456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1,370,173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1,115,469</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33,951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29,207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2,298,739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1,961,400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268,528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430,711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434,019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186,896</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Investment in unconsolidated entity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114,808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9,191</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3,488,214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3,085,861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84,501</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Borrowings under revolving credit agreement (Note 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56,400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456,128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364,185</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303,397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278,036</w:t>
            </w:r>
          </w:p>
        </w:tc>
        <w:tc>
          <w:tcPr>
            <w:tcW w:w="0" w:type="dxa"/>
            <w:vAlign w:val="bottom"/>
          </w:tcPr>
          <w:p>
            <w:pPr>
              <w:spacing w:after="0"/>
              <w:rPr>
                <w:sz w:val="1"/>
                <w:szCs w:val="1"/>
                <w:color w:val="auto"/>
              </w:rPr>
            </w:pPr>
          </w:p>
        </w:tc>
      </w:tr>
      <w:tr>
        <w:trPr>
          <w:trHeight w:val="223"/>
        </w:trPr>
        <w:tc>
          <w:tcPr>
            <w:tcW w:w="8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906,522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726,722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Long-term obligations: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 under revolving credit agreement (Note 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232,144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187,024</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 liabilities, net of current portion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23"/>
        </w:trPr>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long-term obligations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243,532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285,213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Watsco, Inc.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Common stock, $0.50 par value, 60,000,000 shares authorized; 38,108,752 and 37,881,247 shares outstanding at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540"/>
              <w:spacing w:after="0"/>
              <w:rPr>
                <w:sz w:val="20"/>
                <w:szCs w:val="20"/>
                <w:color w:val="auto"/>
              </w:rPr>
            </w:pPr>
            <w:r>
              <w:rPr>
                <w:rFonts w:ascii="Arial" w:cs="Arial" w:eastAsia="Arial" w:hAnsi="Arial"/>
                <w:sz w:val="18"/>
                <w:szCs w:val="18"/>
                <w:color w:val="auto"/>
              </w:rPr>
              <w:t>December 31, 2022 and 2021, respectively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19,054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02"/>
        </w:trPr>
        <w:tc>
          <w:tcPr>
            <w:tcW w:w="89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Class B common stock, $0.50 par value, 10,000,000 shares authorized; 5,513,386 and 5,790,636 shares outstanding at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2022 and 2021, respectively</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Preferred stock, $0.50 par value, 10,000,000 shares authorized; no shares issued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973,060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1,003,932</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(47,710)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(34,176)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1,029,516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760,796</w:t>
            </w:r>
          </w:p>
        </w:tc>
        <w:tc>
          <w:tcPr>
            <w:tcW w:w="0" w:type="dxa"/>
            <w:vAlign w:val="bottom"/>
          </w:tcPr>
          <w:p>
            <w:pPr>
              <w:spacing w:after="0"/>
              <w:rPr>
                <w:sz w:val="1"/>
                <w:szCs w:val="1"/>
                <w:color w:val="auto"/>
              </w:rPr>
            </w:pPr>
          </w:p>
        </w:tc>
      </w:tr>
      <w:tr>
        <w:trPr>
          <w:trHeight w:val="202"/>
        </w:trPr>
        <w:tc>
          <w:tcPr>
            <w:tcW w:w="89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Treasury stock, at cost, 4,823,988 shares of Common stock and 48,263 shares of Class B common stock at both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540"/>
              <w:spacing w:after="0"/>
              <w:rPr>
                <w:sz w:val="20"/>
                <w:szCs w:val="20"/>
                <w:color w:val="auto"/>
              </w:rPr>
            </w:pPr>
            <w:r>
              <w:rPr>
                <w:rFonts w:ascii="Arial" w:cs="Arial" w:eastAsia="Arial" w:hAnsi="Arial"/>
                <w:sz w:val="18"/>
                <w:szCs w:val="18"/>
                <w:color w:val="auto"/>
              </w:rPr>
              <w:t>December 31, 2022 and 2021, respectively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(87,440)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(87,440)</w:t>
            </w:r>
          </w:p>
        </w:tc>
        <w:tc>
          <w:tcPr>
            <w:tcW w:w="0" w:type="dxa"/>
            <w:vAlign w:val="bottom"/>
          </w:tcPr>
          <w:p>
            <w:pPr>
              <w:spacing w:after="0"/>
              <w:rPr>
                <w:sz w:val="1"/>
                <w:szCs w:val="1"/>
                <w:color w:val="auto"/>
              </w:rPr>
            </w:pPr>
          </w:p>
        </w:tc>
      </w:tr>
      <w:tr>
        <w:trPr>
          <w:trHeight w:val="223"/>
        </w:trPr>
        <w:tc>
          <w:tcPr>
            <w:tcW w:w="8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Watsco, Inc. shareholders’ equity</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1,889,237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1,664,948</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359,041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332,467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2,248,278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1,997,415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3,488,214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3,085,861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Class B Common</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and</w:t>
            </w:r>
          </w:p>
        </w:tc>
        <w:tc>
          <w:tcPr>
            <w:tcW w:w="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 Preferred</w:t>
            </w:r>
          </w:p>
        </w:tc>
        <w:tc>
          <w:tcPr>
            <w:tcW w:w="6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12"/>
                <w:szCs w:val="12"/>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4"/>
                <w:szCs w:val="14"/>
                <w:b w:val="1"/>
                <w:bCs w:val="1"/>
                <w:i w:val="1"/>
                <w:iCs w:val="1"/>
                <w:color w:val="auto"/>
                <w:w w:val="93"/>
              </w:rPr>
              <w:t>(In thousands, except share and per share data)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38,194,056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21,533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$907,877</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(39,050)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$ 632,507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$(87,440)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$279,340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$1,714,767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269,579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53,593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323,172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Issuances of restricted shares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184,265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 restricted shares of</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Common stock contribution to 401(k)</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plan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4,530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Stock issuances from exercise of stock</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and employee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144,894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21,528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(23,148)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(4,631)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Cash dividends declared and paid 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Common and Class B common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stock, $6.925 per share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(265,713)</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(265,713)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 fair value of Common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issued for N&amp;S Supply of</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Fishkill, Inc.</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(42,401)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(42,401)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38,521,694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950,915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(34,867)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636,373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(87,440)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293,083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1,779,761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Class B</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Class B Common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 and</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4"/>
              </w:rPr>
              <w:t>Treasury</w:t>
            </w:r>
          </w:p>
        </w:tc>
        <w:tc>
          <w:tcPr>
            <w:tcW w:w="8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and Preferred</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7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i w:val="1"/>
                <w:iCs w:val="1"/>
                <w:color w:val="auto"/>
                <w:w w:val="96"/>
              </w:rPr>
              <w:t>(In thousands, except share and per share data)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Shares</w:t>
            </w:r>
          </w:p>
        </w:tc>
        <w:tc>
          <w:tcPr>
            <w:tcW w:w="180" w:type="dxa"/>
            <w:vAlign w:val="bottom"/>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38,521,694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21,697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950,915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(34,867)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636,373</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8"/>
              </w:rPr>
              <w:t>(87,440)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293,083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1,779,761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418,945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79,790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498,735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2"/>
              </w:rPr>
              <w:t>Issuances of restricted shares of common</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stock</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194,643</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 restricted shares of</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(57,089)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contribution to 401(k)</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plan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22,752</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5,143</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 issuances from exercise of stock</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options and employee stock purchase</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136,641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22,111</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(7,898)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(2,253)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released from escrow</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(23,230)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24,531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24,531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and paid on</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and Class B common stock,</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$7.625 per share</w:t>
            </w: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(295,044)</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(295,044)</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issued for Acme</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Refrigeration of Baton Rouge LLC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8,492</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2,547</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for Makdad</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 Supply Co., Inc.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3,627</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Investment in TEC Distribution LLC</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21,040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21,040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(61,980)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(61,980)</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38,799,632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21,836</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1,003,932</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(34,176)</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760,796</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(87,440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332,467</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1,997,415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Continued on next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restart"/>
          </w:tcPr>
          <w:p>
            <w:pPr>
              <w:jc w:val="center"/>
              <w:ind w:right="81"/>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Class B</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94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78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and Preferred</w:t>
            </w: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 Preferred</w:t>
            </w:r>
          </w:p>
        </w:tc>
        <w:tc>
          <w:tcPr>
            <w:tcW w:w="1000" w:type="dxa"/>
            <w:vAlign w:val="bottom"/>
            <w:gridSpan w:val="2"/>
            <w:vMerge w:val="continue"/>
          </w:tcPr>
          <w:p>
            <w:pPr>
              <w:spacing w:after="0"/>
              <w:rPr>
                <w:sz w:val="12"/>
                <w:szCs w:val="12"/>
                <w:color w:val="auto"/>
              </w:rPr>
            </w:pPr>
          </w:p>
        </w:tc>
        <w:tc>
          <w:tcPr>
            <w:tcW w:w="114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60" w:type="dxa"/>
            <w:vAlign w:val="bottom"/>
          </w:tcPr>
          <w:p>
            <w:pPr>
              <w:spacing w:after="0"/>
              <w:rPr>
                <w:sz w:val="12"/>
                <w:szCs w:val="12"/>
                <w:color w:val="auto"/>
              </w:rPr>
            </w:pPr>
          </w:p>
        </w:tc>
        <w:tc>
          <w:tcPr>
            <w:tcW w:w="8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20"/>
                <w:szCs w:val="20"/>
                <w:color w:val="auto"/>
              </w:rPr>
            </w:pPr>
            <w:r>
              <w:rPr>
                <w:rFonts w:ascii="Arial" w:cs="Arial" w:eastAsia="Arial" w:hAnsi="Arial"/>
                <w:sz w:val="14"/>
                <w:szCs w:val="14"/>
                <w:b w:val="1"/>
                <w:bCs w:val="1"/>
                <w:i w:val="1"/>
                <w:iCs w:val="1"/>
                <w:color w:val="auto"/>
                <w:w w:val="92"/>
              </w:rPr>
              <w:t>(In thousands, except share and per share data)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Shares</w:t>
            </w:r>
          </w:p>
        </w:tc>
        <w:tc>
          <w:tcPr>
            <w:tcW w:w="160" w:type="dxa"/>
            <w:vAlign w:val="bottom"/>
            <w:gridSpan w:val="2"/>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Stock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38,799,632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1,003,932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(34,176)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760,796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(87,440)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332,467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1,997,415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601,167</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102,529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703,696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(13,534)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(6,771)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Issuances of restricted shares of</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143,059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 restricted shares of</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9"/>
              </w:rPr>
              <w:t>Common stock contribution to 401(k)</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plan</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21,560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6,735</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issuances from exercise of stock</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and employee stock</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120,696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20,742</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(322,060)</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(87,327)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(87,488)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29,043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9"/>
              </w:rPr>
              <w:t>Cash dividends declared and paid on</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Common and Class B common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stock, $8.55 per share</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(332,447)</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(332,447)</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(69,184)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(69,184)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38,749,887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21,811</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973,060</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(47,710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1,029,516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(87,440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359,041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2,248,278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2780" w:type="dxa"/>
            <w:vAlign w:val="bottom"/>
            <w:gridSpan w:val="8"/>
          </w:tcPr>
          <w:p>
            <w:pPr>
              <w:jc w:val="right"/>
              <w:ind w:right="54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35"/>
        </w:trPr>
        <w:tc>
          <w:tcPr>
            <w:tcW w:w="8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Cash flows</w:t>
            </w: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from operating activities:</w:t>
            </w: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$ 703,696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$ 498,735</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$ 323,172</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28,127</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25,365</w:t>
            </w: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Deferred income tax provision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5,939</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6,888</w:t>
            </w: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Non-cash contribution to 401(k) plan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5,154</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loss on sale of property and equipment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350</w:t>
            </w: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Other income from investment in unconsolidated entity</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(22,671)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(19,299)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(130,414)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(259,860)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(243,660)</w:t>
            </w: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139,929</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182,819</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33,936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571,964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349,566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534,379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Business acquisitions, net of cash acquired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Proceeds from sale of equity securities</w:t>
            </w:r>
          </w:p>
        </w:tc>
        <w:tc>
          <w:tcPr>
            <w:tcW w:w="10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1,356</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(148,577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(16,342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on Common and Class B common stock</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(332,447)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(294,522)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(265,713)</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(87,107)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non-controlling interest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(61,980)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(42,401)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(repayments) proceeds under revolving credit agreement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(32,600)</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89,000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(155,700)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repayments of finance lease liabilities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Payment of fees related to revolving credit agreement</w:t>
            </w:r>
          </w:p>
        </w:tc>
        <w:tc>
          <w:tcPr>
            <w:tcW w:w="10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non-controlling interest for investment in TEC Distribution LLC</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21,040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proceeds from issuances of common stock</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21,014</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(503,958</w:t>
            </w:r>
          </w:p>
        </w:tc>
        <w:tc>
          <w:tcPr>
            <w:tcW w:w="22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(228,602</w:t>
            </w:r>
          </w:p>
        </w:tc>
        <w:tc>
          <w:tcPr>
            <w:tcW w:w="220" w:type="dxa"/>
            <w:vAlign w:val="bottom"/>
            <w:tcBorders>
              <w:top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(448,493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71,613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$ 147,505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$ 118,268</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$ 146,067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(Note 21)</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WATSCO,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7" w:lineRule="exact"/>
        <w:rPr>
          <w:sz w:val="20"/>
          <w:szCs w:val="20"/>
          <w:color w:val="auto"/>
        </w:rPr>
      </w:pPr>
    </w:p>
    <w:p>
      <w:pPr>
        <w:ind w:left="120" w:right="6140" w:hanging="4"/>
        <w:spacing w:after="0" w:line="378" w:lineRule="auto"/>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Organization, Consolidation and Presentation</w:t>
      </w:r>
    </w:p>
    <w:p>
      <w:pPr>
        <w:ind w:left="120" w:right="20"/>
        <w:spacing w:after="0" w:line="259" w:lineRule="auto"/>
        <w:rPr>
          <w:sz w:val="20"/>
          <w:szCs w:val="20"/>
          <w:color w:val="auto"/>
        </w:rPr>
      </w:pPr>
      <w:r>
        <w:rPr>
          <w:rFonts w:ascii="Arial" w:cs="Arial" w:eastAsia="Arial" w:hAnsi="Arial"/>
          <w:sz w:val="18"/>
          <w:szCs w:val="18"/>
          <w:color w:val="auto"/>
        </w:rPr>
        <w:t>Watsco, Inc. (collectively with its subsidiaries, “Watsco,” “we,” “us,” or “our”) was incorporated in Florida in 1956 and is the largest distributor of air conditioning, heating and refrigeration equipment and related parts and supplies (“HVAC/R”) in the HVAC/R distribution industry in North America. At December 31, 2022, we operated from 673 locations in 42 U.S. states, Canada, Mexico, and Puerto Rico with additional market coverage on an export basis to portions of Latin America and the Caribbean.</w:t>
      </w:r>
    </w:p>
    <w:p>
      <w:pPr>
        <w:spacing w:after="0" w:line="187" w:lineRule="exact"/>
        <w:rPr>
          <w:sz w:val="20"/>
          <w:szCs w:val="20"/>
          <w:color w:val="auto"/>
        </w:rPr>
      </w:pPr>
    </w:p>
    <w:p>
      <w:pPr>
        <w:jc w:val="both"/>
        <w:ind w:left="120" w:right="460"/>
        <w:spacing w:after="0" w:line="301" w:lineRule="auto"/>
        <w:rPr>
          <w:sz w:val="20"/>
          <w:szCs w:val="20"/>
          <w:color w:val="auto"/>
        </w:rPr>
      </w:pPr>
      <w:r>
        <w:rPr>
          <w:rFonts w:ascii="Arial" w:cs="Arial" w:eastAsia="Arial" w:hAnsi="Arial"/>
          <w:sz w:val="16"/>
          <w:szCs w:val="16"/>
          <w:color w:val="auto"/>
        </w:rPr>
        <w:t>The consolidated financial statements include the accounts of Watsco, all of its wholly owned subsidiaries, the accounts of four joint ventures with Carrier Global Corporation, which we refer to as Carrier, the accounts of Carrier InterAmerica Corporation, of which we have an 80% controlling interest and Carrier has a 20% non-controlling interest, and our 38.1% investment in Russell Sigler, Inc. (“RSI”), which is accounted for under the equity method of accounting. All significant intercompany balances and transactions have been eliminated in consolidation.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 and Economic and Marketplace Dynamics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Since COVID-19 was declared a pandemic in March 2020, it has had widespread impacts on global financial markets and business practices. Although we learned to navigate COVID-19 while maintaining our operations in all material respects, the pandemic impacted our operations, and the operations of our customers and suppliers, throughout 2020 and into 2021. As the effects of the pandemic have continued to lessen with the normalization of living with COVID-19 following the increase in accessibility to COVID-19 vaccines and antiviral treatments, the impact of the pandemic on our business has been more reflective of greater economic and marketplace dynamics, which include inflation, supply chain disruptions, and labor shortages, rather than pandemic-related issues, such as quarantines, location closures, mandated restrictions, employee illnesses, and travel restrictions. The extent to which these macro-economic and marketplace dynamics impact our business, results of operations, and financial condition will depend on future developments, which are highly uncertain and cannot be predicted, therefore, we cannot reasonably estimate the future impact of such dynamics at this time.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functional currency of our operations in Canada is the Canadian dollar. Foreign currency denominated assets and liabilities are translated into U.S. dollars at the exchange rates in effect at the balance sheet date, and income and expense items are translated at the average exchange rates in effect during the applicable period. The aggregate effect of foreign currency translation is recorded in accumulated other comprehensive loss in our consolidated balance sheets. Our net investment in our Canadian operations is recorded at the historical rate and the resulting foreign currency translation adjustments are included in accumulated other comprehensive loss in our consolidated balance sheets. Gains or losses resulting from transactions denominated in U.S. dollars are recognized in earnings primarily within cost of sales in our consolidated statements of income.</w:t>
      </w:r>
    </w:p>
    <w:p>
      <w:pPr>
        <w:spacing w:after="0" w:line="164"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Our operations in Mexico consider their functional currency to be the U.S. dollar because the majority of their transactions are denominated in U.S. dollars. Gains or losses resulting from transactions denominated in Mexican pesos are recognized in earnings primarily within selling, general and administrative expenses in our consolidated statements of income.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Investments in which we have the ability to exercise significant influence, but do not control, are accounted for under the equity method of accounting and are included in investment in unconsolidated entity in our consolidated balance sheets. Under this method of accounting, our proportionate share of the net income or loss of the investee is included in other income in our consolidated statements of income. The excess, if any, of the carrying amount of our investment over our ownership percentage in the underlying net assets of the investee is attributed to certain fair value adjustments with the remaining portion recognized as goodwill.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for the reporting period. Significant estimates include valuation reserves for accounts receivable, net realizable value adjustments to inventories, income taxes, reserves related to loss contingencies and the valuation of goodwill, indefinite-lived intangible assets, and long-lived assets. While we believe that these estimates are reasonable, actual results could differ from such estimates.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highly liquid instruments purchased with original maturities of three months or less are considered to be cash equivalents.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Accounts receivable primarily consist of trade receivables due from customers and are stated at the invoiced amount less an allowance for doubtful accounts. An allowance for doubtful accounts is maintained for estimated losses resulting from the inability of customers to make required payments. When preparing these estimates, we consider a number of factors, including the aging of a customer’s account, past transactions with customers, creditworthiness of specific customers, historical trends, and other information, including potential impacts of business and economic conditions. Upon determination that an account is uncollectible, the receivable balance is written off. At December 31, 2022 and 2021, the allowance for doubtful accounts totaled $18,345 and $11,315,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Inventories consist of air conditioning, heating and refrigeration equipment, and related parts and supplies and are valued at the lower of cost using the first-in, first-out and weighted-average cost basis methods, or net realizable value. As part of the valuation process, inventories are adjusted to reflect excess, slow-moving, and damaged inventories at their estimated net realizable value. Inventory policies are reviewed periodically, reflecting current risks, trends, and changes in industry conditions. A reserve for estimated inventory shrinkage is maintained to consider inventory shortages determined from cycle counts and physical inventories.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Vendor Rebates and Purchase Discounts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have arrangements with several vendors that provide rebates payable to us when we achieve defined measures, generally related to the volume level of purchases. We account for such rebates as a reduction of inventory until we sell the product, at which time such rebates are reflected as a reduction of cost of sales in our consolidated statements of income. Throughout the year, we estimate rebates based on our estimate of purchases to date relative to the purchase levels that mark our progress toward earning the rebates. We continually revise our estimates of earned vendor rebates based on actual purchase levels. At December 31, 2022 and 2021, we had $22,961 and $22,692, respectively, of rebates recorded as a reduction of inventories. Substantially all vendor rebate receivables are collected within three months following the end of the year. Vendor rebates that are earned based on products sold are credited directly to cost of sales in our consolidated statements of income.</w:t>
      </w:r>
    </w:p>
    <w:p>
      <w:pPr>
        <w:spacing w:after="0" w:line="16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also have vendors that offer a cash discount when we pay their invoice within a specified period of time. We account for such cash discounts as a reduction of inventories until we sell the product at which time such cash discounts are reflected as a reduction of cost of sales in our consolidated statements of income. At December 31, 2022 and 2021, we had $19,158 and $17,893, respectively, of cash discounts recorded as a reduction of inventories.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Securities</w:t>
      </w:r>
    </w:p>
    <w:p>
      <w:pPr>
        <w:spacing w:after="0" w:line="121"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Investments in equity securities are recorded at fair value using the specific identification method and are included in other assets in our consolidated balance sheets. Changes in the fair value of equity securities and dividend income are recognized in our consolidated statements of income.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of property and equipment is computed using the straight-line method. Buildings and improvements are depreciated or amortized over estimated useful lives ranging from 3-40 years. Leasehold improvements are amortized over the shorter of the respective lease terms or estimated useful lives. Machinery, vehicles, and equipment are depreciated over estimated useful lives ranging from 3-10 years. Computer hardware and software are depreciated over estimated useful lives ranging from 3-10 years. Furniture and fixtures are depreciated over estimated useful lives ranging from 5-7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and Finance Leases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have operating leases for real property, vehicles and equipment, and finance leases primarily for vehicles. Operating leases are included in operating lease right-of-use (“ROU”) assets, current portion of long-term obligations, and operating lease liabilities, net of current portion in our consolidated balance sheets. Finance leases are not considered significant to our consolidated balance sheets or consolidated statements of income. Finance lease ROU assets at December 31, 2022 and 2021, of $14,480 and $11,489, respectively, are included in property and equipment, net in our consolidated balance sheets. Finance lease liabilities at December 31, 2022 and 2021, of $14,865 and $11,762, respectively, are included in current portion of long-term obligations and finance lease liabilities, net of current portion in our consolidated balance sheets.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86"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applicable commencement date based on the present value of lease payments over the lease term. As most of our leases do not provide an implicit interest rate, we use our incremental borrowing rate based on the information available at the commencement dates of the respective leases in determining the present value of the applicable lease payments.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Operating lease ROU assets also include any lease pre-payments made and exclude lease incentives. Certain of our leases include variable payments, which are excluded from lease ROU assets and lease liabilities and expensed as incurred. Our leases have remaining lease terms of 1-10 years, some of which include options to extend the leases for up to five years. The exercise of lease renewal options is at our sole discretion, and our lease ROU assets and liabilities reflect only the options we are reasonably certain that we will exercise. Certain real property lease agreements have lease and non-lease components, which are generally accounted for as a single lease component. Lease expense for lease payments is recognized on a straight-line basis over the lease term. Lease payments for short-term leases, which are 12 months or less without a purchase option that is likely to be exercised, are recognized as lease cost on a straight-line basis over the lease term.</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elected the practical expedients related to short-term leases and separating lease components from non-lease components for all underlying asset classes.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Goodwill is recorded when the purchase price paid for an acquisition of a business exceeds the fair value of the net identified tangible and intangible assets acquired. We evaluate goodwill for impairment annually or more frequently when an event occurs or circumstances change that indicate that the carrying value may not be recoverable. We test goodwill for impairment by comparing the fair value of our reporting unit to its carrying value. If the fair value is determined to be less than the carrying value, an impairment charge would be recognized. On January 1, 2023, we performed our annual evaluation of goodwill impairment and determined that the estimated fair value of our reporting unit exceeded its carrying value.</w:t>
      </w:r>
    </w:p>
    <w:p>
      <w:pPr>
        <w:spacing w:after="0" w:line="16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Intangible assets primarily consist of the value of trade names and trademarks, distributor agreements, customer relationships, and patented and unpatented technology. Indefinite lived intangibles not subject to amortization are assessed for impairment at least annually, or more frequently if events or changes in circumstances indicate they may be impaired, by comparing the fair value of the intangible asset to its carrying amount to determine if a write-down to fair value is required. Finite lived intangible assets are amortized using the straight-line method over their respective estimated useful lives.</w:t>
      </w:r>
    </w:p>
    <w:p>
      <w:pPr>
        <w:spacing w:after="0" w:line="188"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We perform our impairment tests annually and have determined there was no impairment for any of the periods presented. There were no events or circumstances identified from the date of our assessment that would require an update to our annual impairment tests.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Long-lived assets, other than goodwill and intangible assets, are reviewed for impairment whenever events or changes in circumstances indicate that the carrying amount of the assets may not be recoverable. Recoverability is evaluated by determining whether the amortization of the balance over its remaining life can be recovered through undiscounted future operating cash flows. We measure the impairment loss based on projected discounted cash flows using a discount rate reflecting the average cost of funds and compared to the asset’s carrying value. As of December 31, 2022, there were no such events or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carry various assets and liabilities at fair value in the consolidated balance sheets. Fair value is defined as the price that would be received for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Fair value measurements are classified based on the following fair value hierarchy: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90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200" w:hanging="782"/>
        <w:spacing w:after="0" w:line="263"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prices such as quoted prices in active markets for similar assets or liabilities; quoted prices in markets that are not active; or model-driven valuations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900" w:right="40" w:hanging="782"/>
        <w:spacing w:after="0" w:line="277" w:lineRule="auto"/>
        <w:tabs>
          <w:tab w:leader="none" w:pos="880" w:val="left"/>
        </w:tabs>
        <w:rPr>
          <w:sz w:val="20"/>
          <w:szCs w:val="20"/>
          <w:color w:val="auto"/>
        </w:rPr>
      </w:pPr>
      <w:r>
        <w:rPr>
          <w:rFonts w:ascii="Arial" w:cs="Arial" w:eastAsia="Arial" w:hAnsi="Arial"/>
          <w:sz w:val="18"/>
          <w:szCs w:val="18"/>
          <w:color w:val="auto"/>
        </w:rPr>
        <w:t>Level 3</w:t>
        <w:tab/>
        <w:t>Unobservable inputs for the asset or liability. These inputs reflect our own assumptions about the assumptions a market participant would use in pricing the asset or liability.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Revenue primarily consists of sales of air conditioning, heating and refrigeration equipment, and related parts and supplies. We generate our revenue primarily from the sale of finished products to customers; therefore, the significant majority of our contracts are short-term in nature and have only a single performance obligation to deliver products. The performance obligation under such contracts is satisfied when we transfer control of the product to the customer. Some contracts contain a combination of product sales and services, the latter of which is distinct and accounted for as a separate performance obligation. We satisfy our performance obligations for services when we render the services within the agreed-upon service period. Total service revenue is not material and accounted for less than 1% of our consolidated revenues for all periods presented.</w:t>
      </w:r>
    </w:p>
    <w:p>
      <w:pPr>
        <w:spacing w:after="0" w:line="16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Revenue is recognized when control transfers to our customers when products are picked up, or via shipment of products or delivery of services. We measure revenue as the amount of consideration we expect to be entitled to receive in exchange for those goods or services, net of any variable considerations (e.g., rights to return product, sales incentives, others) and any taxes collected from customers and subsequently remitted to governmental authorities. Revenue for shipping and handling charges is recognized when products are delivered to the customer.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Returns</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We estimate product returns based on historical experience and record them on a gross basis on our balance sheets. Substantially all customer returns relate to products that are returned under manufacturers’ warranty obligations. Accrued sales returns at December 31, 2022 and 2021 of $21,023 and $16,707, respectively, were included in accrued expenses and other current liabilities in our consolidated balance sheets.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Incentives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estimate sales incentives expected to be paid over the terms of the programs based on the most likely amounts. Sales incentives are accounted for as a reduction in the transaction price and are generally paid on an annual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generally expense sales commissions when incurred because the amortization period is one year or less. These costs are recorded within selling, general and administrative expenses. We do not disclose the value of unsatisfied performance obligations for contracts with an original expected length of one year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Advertising costs are expensed as incurred. Advertising expense for the years ended December 31, 2022, 2021, and 2020, were $25,884, $21,552, and $12,588,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Shipping and Handling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Shipping and handling costs associated with inbound freight are capitalized to inventories and relieved through cost of sales as inventories are sold. Shipping and handling costs associated with the delivery of products are included in selling, general and administrative expenses. Shipping and handling costs for the years ended December 31, 2022, 2021 and 2020, were $86,620, $70,453, and $55,019,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fair value of stock option and restricted stock awards are expensed net of estimated forfeitures on a straight-line basis over the vesting period of the awards. Share-based compensation expense is included in selling, general and administrative expenses in our consolidated statements of income. Tax benefits resulting from tax deductions in excess of share-based compensation expense are recognized in our provision for income taxes in our consolidated statements of income.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We record U.S. federal, state and foreign income taxes currently payable, as well as deferred taxes due to temporary differences between reporting income and expenses for financial statement purposes versus tax purposes. Deferred tax assets and liabilities reflect the temporary differences between the financial statement and income tax basis of assets and liabilities.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We and our eligible subsidiaries file a consolidated U.S. federal income tax return. As income tax returns are generally not filed until well after the closing process for the December 31 financial statements is complete, the amounts recorded at December 31 reflect estimates of what the final amounts will be when the actual income tax returns are filed for that calendar year. In addition, estimates are often required with respect to, among other things, the appropriate state income tax rates to use in the various states that we and our subsidiaries are required to file, the potential utilization of operating loss carryforwards, and valuation allowances required for tax assets that may not be realizable in the future.</w:t>
      </w:r>
    </w:p>
    <w:p>
      <w:pPr>
        <w:spacing w:after="0" w:line="18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recognize the financial statement benefit of a tax position only after determining that the relevant tax authority would more likely than not sustain the position following an audit. For tax positions meeting this threshold, the amount recognized in the financial statements is the largest benefit that has a greater than 50% likelihood of being realized upon ultimate settlement with the relevant tax authority.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compute earnings per share using the two-class method. The two-class method of computing earnings per share is an earnings allocation formula that determines earnings per share for common stock and any participating securities according to dividends declared (whether paid or unpaid) and participation rights in undistributed earnings. Shares of our unvested restricted stock are considered participating securities because these awards contain a non-forfeitable right to dividends irrespective of whether the awards ultimately vest. Under the two-class method, earnings per common share for our Common and Class B common stock is computed by dividing the sum of distributed earnings to common shareholders and undistributed earnings allocated to common shareholders by the weighted-average number of shares of Common and Class B common stock outstanding for the period. In applying the two-class method, undistributed earnings are allocated to Common stock, Class B common stock and participating securities based on the weighted-average shares outstanding during the period.</w:t>
      </w:r>
    </w:p>
    <w:p>
      <w:pPr>
        <w:spacing w:after="0" w:line="17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Diluted earnings per share reflects the dilutive effect of potential common shares from stock options. The dilutive effect of outstanding stock options is computed using the treasury stock method, which assumes any proceeds that could be obtained upon the exercise of stock options, would be used to purchase common stock at the average market price for the period. The assumed proceeds include the purchase price the optionee pays, the windfall tax benefit that we receive upon assumed exercise, and the unrecognized compensation expense at the end of each period.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Instruments and Hedging Activity</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used derivative instruments, including forward and option contracts and swaps, to manage our exposure to fluctuations in foreign currency exchange rates and interest rates. The use of these derivative instruments modifies the exposure of these risks with the intent to reduce the risk or cost to us. We use derivative instruments as risk management tools and not for trading purposes. All derivatives, whether designated as hedging relationships or not, are recorded on the balance sheet at fair value. Cash flows from derivative instruments are classified in the consolidated statements of cash flows in the same category as the cash flows from the items subject to the designated hedge or undesignated (economic) hedge relationships. The hedging designation may be classified as one of the following:</w:t>
      </w:r>
    </w:p>
    <w:p>
      <w:pPr>
        <w:spacing w:after="0" w:line="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i w:val="1"/>
          <w:iCs w:val="1"/>
          <w:color w:val="auto"/>
        </w:rPr>
        <w:t xml:space="preserve">No Hedging Designation. </w:t>
      </w:r>
      <w:r>
        <w:rPr>
          <w:rFonts w:ascii="Arial" w:cs="Arial" w:eastAsia="Arial" w:hAnsi="Arial"/>
          <w:sz w:val="18"/>
          <w:szCs w:val="18"/>
          <w:color w:val="auto"/>
        </w:rPr>
        <w:t>The gain or loss on a derivative instrument not designated as an accounting hedging instrument is recognized in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selling, general and administrative expenses.</w:t>
      </w:r>
    </w:p>
    <w:p>
      <w:pPr>
        <w:spacing w:after="0" w:line="170"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i w:val="1"/>
          <w:iCs w:val="1"/>
          <w:color w:val="auto"/>
        </w:rPr>
        <w:t xml:space="preserve">Cash Flow Hedge. </w:t>
      </w:r>
      <w:r>
        <w:rPr>
          <w:rFonts w:ascii="Arial" w:cs="Arial" w:eastAsia="Arial" w:hAnsi="Arial"/>
          <w:sz w:val="17"/>
          <w:szCs w:val="17"/>
          <w:color w:val="auto"/>
        </w:rPr>
        <w:t>A hedge of a forecasted transaction or of the variability of cash flows to be received or paid related to a recognized asset or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is considered a cash flow hedge. The effective portion of the change in the fair value of a derivative that is designated as a cash flow hedge is recorded in other comprehensive (loss) income and reclassified to earnings as a component of cost of sales in the period for which the hedged transaction affects earnings. Ineffective portions of changes in the fair value of cash flow hedges are recognized in earnings.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 xml:space="preserve">Fair Value Hedge. </w:t>
      </w:r>
      <w:r>
        <w:rPr>
          <w:rFonts w:ascii="Arial" w:cs="Arial" w:eastAsia="Arial" w:hAnsi="Arial"/>
          <w:sz w:val="18"/>
          <w:szCs w:val="18"/>
          <w:color w:val="auto"/>
        </w:rPr>
        <w:t>A hedge of a recognized asset or liability or an unrecognized firm commitment is considered a fair value hedge. Fair value hedges,</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effective and ineffective portions of the changes in the fair value of the derivative, along with the gain or loss on the hedged item that is attributable to the hedged risk, are recorded in earnings.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16 for additional information pertaining to derivative instruments.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Contingencies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Accruals are recorded for various contingencies including self-insurance, legal proceedings, environmental matters, and other claims that arise in the normal course of business. The estimation process contains uncertainty because accruals are based on judgment, the probability of losses and, where applicable, the consideration of opinions of external legal counsel and actuarially determined estimates. Additionally, we record receivables from third party insurers when recovery has been determined to be probable.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cost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$101,578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$ 90,742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$82,543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Short-term lease cost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10,226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Sublease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113,271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89,574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5"/>
            <w:vMerge w:val="restart"/>
          </w:tcPr>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w w:val="82"/>
              </w:rPr>
              <w:t>December 31,</w:t>
            </w:r>
          </w:p>
        </w:tc>
        <w:tc>
          <w:tcPr>
            <w:tcW w:w="49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ROU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317,314</w:t>
            </w:r>
          </w:p>
        </w:tc>
        <w:tc>
          <w:tcPr>
            <w:tcW w:w="180" w:type="dxa"/>
            <w:vAlign w:val="bottom"/>
            <w:shd w:val="clear" w:color="auto" w:fill="CCEEFF"/>
          </w:tcPr>
          <w:p>
            <w:pPr>
              <w:spacing w:after="0"/>
              <w:rPr>
                <w:sz w:val="18"/>
                <w:szCs w:val="18"/>
                <w:color w:val="auto"/>
              </w:rPr>
            </w:pPr>
          </w:p>
        </w:tc>
        <w:tc>
          <w:tcPr>
            <w:tcW w:w="1340" w:type="dxa"/>
            <w:vAlign w:val="bottom"/>
            <w:gridSpan w:val="8"/>
            <w:shd w:val="clear" w:color="auto" w:fill="CCEEFF"/>
          </w:tcPr>
          <w:p>
            <w:pPr>
              <w:jc w:val="right"/>
              <w:ind w:right="128"/>
              <w:spacing w:after="0"/>
              <w:rPr>
                <w:sz w:val="20"/>
                <w:szCs w:val="20"/>
                <w:color w:val="auto"/>
              </w:rPr>
            </w:pPr>
            <w:r>
              <w:rPr>
                <w:rFonts w:ascii="Arial" w:cs="Arial" w:eastAsia="Arial" w:hAnsi="Arial"/>
                <w:sz w:val="18"/>
                <w:szCs w:val="18"/>
                <w:color w:val="auto"/>
              </w:rPr>
              <w:t>$ 268,528</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87,120</w:t>
            </w:r>
          </w:p>
        </w:tc>
        <w:tc>
          <w:tcPr>
            <w:tcW w:w="180" w:type="dxa"/>
            <w:vAlign w:val="bottom"/>
          </w:tcPr>
          <w:p>
            <w:pPr>
              <w:spacing w:after="0"/>
              <w:rPr>
                <w:sz w:val="24"/>
                <w:szCs w:val="24"/>
                <w:color w:val="auto"/>
              </w:rPr>
            </w:pPr>
          </w:p>
        </w:tc>
        <w:tc>
          <w:tcPr>
            <w:tcW w:w="1340" w:type="dxa"/>
            <w:vAlign w:val="bottom"/>
            <w:gridSpan w:val="8"/>
          </w:tcPr>
          <w:p>
            <w:pPr>
              <w:jc w:val="right"/>
              <w:ind w:right="128"/>
              <w:spacing w:after="0"/>
              <w:rPr>
                <w:sz w:val="20"/>
                <w:szCs w:val="20"/>
                <w:color w:val="auto"/>
              </w:rPr>
            </w:pPr>
            <w:r>
              <w:rPr>
                <w:rFonts w:ascii="Arial" w:cs="Arial" w:eastAsia="Arial" w:hAnsi="Arial"/>
                <w:sz w:val="18"/>
                <w:szCs w:val="18"/>
                <w:color w:val="auto"/>
              </w:rPr>
              <w:t>$  81,928</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232,144</w:t>
            </w:r>
          </w:p>
        </w:tc>
        <w:tc>
          <w:tcPr>
            <w:tcW w:w="180" w:type="dxa"/>
            <w:vAlign w:val="bottom"/>
            <w:shd w:val="clear" w:color="auto" w:fill="CCEEFF"/>
          </w:tcPr>
          <w:p>
            <w:pPr>
              <w:spacing w:after="0"/>
              <w:rPr>
                <w:sz w:val="18"/>
                <w:szCs w:val="18"/>
                <w:color w:val="auto"/>
              </w:rPr>
            </w:pPr>
          </w:p>
        </w:tc>
        <w:tc>
          <w:tcPr>
            <w:tcW w:w="1340" w:type="dxa"/>
            <w:vAlign w:val="bottom"/>
            <w:gridSpan w:val="8"/>
            <w:shd w:val="clear" w:color="auto" w:fill="CCEEFF"/>
          </w:tcPr>
          <w:p>
            <w:pPr>
              <w:jc w:val="right"/>
              <w:ind w:right="128"/>
              <w:spacing w:after="0"/>
              <w:rPr>
                <w:sz w:val="20"/>
                <w:szCs w:val="20"/>
                <w:color w:val="auto"/>
              </w:rPr>
            </w:pPr>
            <w:r>
              <w:rPr>
                <w:rFonts w:ascii="Arial" w:cs="Arial" w:eastAsia="Arial" w:hAnsi="Arial"/>
                <w:sz w:val="18"/>
                <w:szCs w:val="18"/>
                <w:color w:val="auto"/>
              </w:rPr>
              <w:t>187,024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319,264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$ 268,952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gridSpan w:val="2"/>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4.8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8"/>
              <w:spacing w:after="0"/>
              <w:rPr>
                <w:sz w:val="20"/>
                <w:szCs w:val="20"/>
                <w:color w:val="auto"/>
              </w:rPr>
            </w:pPr>
            <w:r>
              <w:rPr>
                <w:rFonts w:ascii="Arial" w:cs="Arial" w:eastAsia="Arial" w:hAnsi="Arial"/>
                <w:sz w:val="18"/>
                <w:szCs w:val="18"/>
                <w:color w:val="auto"/>
                <w:w w:val="97"/>
              </w:rPr>
              <w:t>4.4 years</w:t>
            </w:r>
          </w:p>
        </w:tc>
        <w:tc>
          <w:tcPr>
            <w:tcW w:w="400" w:type="dxa"/>
            <w:vAlign w:val="bottom"/>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3.85%</w:t>
            </w:r>
          </w:p>
        </w:tc>
        <w:tc>
          <w:tcPr>
            <w:tcW w:w="1340" w:type="dxa"/>
            <w:vAlign w:val="bottom"/>
            <w:gridSpan w:val="8"/>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gridSpan w:val="5"/>
          </w:tcPr>
          <w:p>
            <w:pPr>
              <w:spacing w:after="0"/>
              <w:rPr>
                <w:sz w:val="20"/>
                <w:szCs w:val="20"/>
                <w:color w:val="auto"/>
              </w:rPr>
            </w:pPr>
            <w:r>
              <w:rPr>
                <w:rFonts w:ascii="Arial" w:cs="Arial" w:eastAsia="Arial" w:hAnsi="Arial"/>
                <w:sz w:val="18"/>
                <w:szCs w:val="18"/>
                <w:color w:val="auto"/>
              </w:rPr>
              <w:t>Supplemental cash flow information related to operating leases were as follows: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cash flows for the measurement of operating lease liabilities</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$100,092</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center"/>
              <w:ind w:left="30"/>
              <w:spacing w:after="0"/>
              <w:rPr>
                <w:sz w:val="20"/>
                <w:szCs w:val="20"/>
                <w:color w:val="auto"/>
              </w:rPr>
            </w:pPr>
            <w:r>
              <w:rPr>
                <w:rFonts w:ascii="Arial" w:cs="Arial" w:eastAsia="Arial" w:hAnsi="Arial"/>
                <w:sz w:val="18"/>
                <w:szCs w:val="18"/>
                <w:color w:val="auto"/>
                <w:w w:val="99"/>
              </w:rPr>
              <w:t>$ 91,063</w:t>
            </w: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Arial" w:cs="Arial" w:eastAsia="Arial" w:hAnsi="Arial"/>
                <w:sz w:val="18"/>
                <w:szCs w:val="18"/>
                <w:color w:val="auto"/>
                <w:w w:val="92"/>
              </w:rPr>
              <w:t>$80,921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w w:val="93"/>
              </w:rPr>
              <w:t>Operating lease ROU assets obtained in exchange for operating lease obligations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0"/>
              </w:rPr>
              <w:t>$140,704</w:t>
            </w:r>
          </w:p>
        </w:tc>
        <w:tc>
          <w:tcPr>
            <w:tcW w:w="180" w:type="dxa"/>
            <w:vAlign w:val="bottom"/>
          </w:tcPr>
          <w:p>
            <w:pPr>
              <w:spacing w:after="0"/>
              <w:rPr>
                <w:sz w:val="20"/>
                <w:szCs w:val="20"/>
                <w:color w:val="auto"/>
              </w:rPr>
            </w:pPr>
          </w:p>
        </w:tc>
        <w:tc>
          <w:tcPr>
            <w:tcW w:w="820" w:type="dxa"/>
            <w:vAlign w:val="bottom"/>
            <w:gridSpan w:val="5"/>
          </w:tcPr>
          <w:p>
            <w:pPr>
              <w:jc w:val="center"/>
              <w:ind w:left="30"/>
              <w:spacing w:after="0"/>
              <w:rPr>
                <w:sz w:val="20"/>
                <w:szCs w:val="20"/>
                <w:color w:val="auto"/>
              </w:rPr>
            </w:pPr>
            <w:r>
              <w:rPr>
                <w:rFonts w:ascii="Arial" w:cs="Arial" w:eastAsia="Arial" w:hAnsi="Arial"/>
                <w:sz w:val="18"/>
                <w:szCs w:val="18"/>
                <w:color w:val="auto"/>
                <w:w w:val="93"/>
              </w:rPr>
              <w:t>$141,198</w:t>
            </w:r>
          </w:p>
        </w:tc>
        <w:tc>
          <w:tcPr>
            <w:tcW w:w="180" w:type="dxa"/>
            <w:vAlign w:val="bottom"/>
          </w:tcPr>
          <w:p>
            <w:pPr>
              <w:spacing w:after="0"/>
              <w:rPr>
                <w:sz w:val="20"/>
                <w:szCs w:val="20"/>
                <w:color w:val="auto"/>
              </w:rPr>
            </w:pPr>
          </w:p>
        </w:tc>
        <w:tc>
          <w:tcPr>
            <w:tcW w:w="74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$59,093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20" w:type="dxa"/>
            <w:vAlign w:val="bottom"/>
          </w:tcPr>
          <w:p>
            <w:pPr>
              <w:ind w:left="2860"/>
              <w:spacing w:after="0"/>
              <w:rPr>
                <w:sz w:val="20"/>
                <w:szCs w:val="20"/>
                <w:color w:val="auto"/>
              </w:rPr>
            </w:pPr>
            <w:r>
              <w:rPr>
                <w:rFonts w:ascii="Arial" w:cs="Arial" w:eastAsia="Arial" w:hAnsi="Arial"/>
                <w:sz w:val="18"/>
                <w:szCs w:val="18"/>
                <w:color w:val="auto"/>
              </w:rPr>
              <w:t>F-17</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86" w:right="6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2022, maturities of operating lease liabilities over each of the next five years and thereafter were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353,452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319,264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At December 31, 2022, we had additional operating leases, primarily for real property, that had not yet commenced. Such leases had estimated future minimum rental commitments of approximately $19,200. These operating leases are expected to commence in 2023 with lease terms of 4-8 years. These undiscounted amounts are not included in the table above.</w:t>
      </w:r>
    </w:p>
    <w:p>
      <w:pPr>
        <w:spacing w:after="0" w:line="288" w:lineRule="exact"/>
        <w:rPr>
          <w:sz w:val="20"/>
          <w:szCs w:val="20"/>
          <w:color w:val="auto"/>
        </w:rPr>
      </w:pPr>
    </w:p>
    <w:p>
      <w:pPr>
        <w:ind w:left="120" w:right="8860" w:hanging="4"/>
        <w:spacing w:after="0" w:line="453" w:lineRule="auto"/>
        <w:tabs>
          <w:tab w:leader="none" w:pos="30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Disaggregation of Revenues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our revenues disaggregated by primary geographical regions and major product lines within our single reporting segment:</w:t>
      </w:r>
    </w:p>
    <w:p>
      <w:pPr>
        <w:spacing w:after="0" w:line="271"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3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Years Ended December 31,</w:t>
            </w:r>
          </w:p>
        </w:tc>
        <w:tc>
          <w:tcPr>
            <w:tcW w:w="23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13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Primary Geographical Regions:</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$6,578,897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$5,636,929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$4,535,262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389,119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386,780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Latin America and the Caribbean</w:t>
            </w:r>
          </w:p>
        </w:tc>
        <w:tc>
          <w:tcPr>
            <w:tcW w:w="1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306,328</w:t>
            </w: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256,483</w:t>
            </w: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7,274,344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6,280,192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5,054,928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color w:val="auto"/>
              </w:rPr>
              <w:t>Major Product Lines: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HVAC equipment</w:t>
            </w:r>
          </w:p>
        </w:tc>
        <w:tc>
          <w:tcPr>
            <w:tcW w:w="3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68%</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HVAC products</w:t>
            </w:r>
          </w:p>
        </w:tc>
        <w:tc>
          <w:tcPr>
            <w:tcW w:w="3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28%</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 refrigeration products</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420" w:type="dxa"/>
            <w:vAlign w:val="bottom"/>
            <w:gridSpan w:val="3"/>
          </w:tcPr>
          <w:p>
            <w:pPr>
              <w:jc w:val="right"/>
              <w:ind w:right="2100"/>
              <w:spacing w:after="0"/>
              <w:rPr>
                <w:sz w:val="20"/>
                <w:szCs w:val="20"/>
                <w:color w:val="auto"/>
              </w:rPr>
            </w:pPr>
            <w:r>
              <w:rPr>
                <w:rFonts w:ascii="Arial" w:cs="Arial" w:eastAsia="Arial" w:hAnsi="Arial"/>
                <w:sz w:val="18"/>
                <w:szCs w:val="18"/>
                <w:color w:val="auto"/>
              </w:rPr>
              <w:t>F-18</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calculation of basic and diluted earnings per share for our Common and Class B common stock:</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5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Years Ended 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Watsco, Inc. shareholders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601,167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418,945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distributed and undistributed earnings allocated to restricted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51,365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37,273</w:t>
            </w:r>
          </w:p>
        </w:tc>
        <w:tc>
          <w:tcPr>
            <w:tcW w:w="4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color w:val="auto"/>
              </w:rPr>
              <w:t>Earnings allocated to Watsco, Inc. shareholders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549,802</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381,672</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35,564,203</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35,244,230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35,069,516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 for Common and Class B common stock</w:t>
            </w: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15.46</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Allocation of earnings for 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499,792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353,873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 common stock</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549,802</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381,672</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Watsco, Inc. shareholders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601,167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418,945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distributed and undistributed earnings allocated to restricted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51,294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37,222</w:t>
            </w:r>
          </w:p>
        </w:tc>
        <w:tc>
          <w:tcPr>
            <w:tcW w:w="4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color w:val="auto"/>
              </w:rPr>
              <w:t>Earnings allocated to Watsco, Inc. shareholders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549,873</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381,723</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35,564,203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35,244,230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35,069,516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Effect of dilutive stock options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119,431</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35,683,634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35,423,838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35,150,571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 for Common and Class B common stock</w:t>
            </w: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Diluted earnings per share for our Common stock assumes the conversion of all our Class B common stock into Common stock as of the beginning of the fiscal year; therefore, no allocation of earnings to Class B common stock is required. At December 31, 2022, 2021, and 2020, our outstanding Class B common stock was convertible into 3,234,939, 2,566,990, and 2,572,536 shares of our Common stock, respectively.</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Diluted earnings per share excluded 190,462, 40,529, and 19,722 shares for the years ended December 31, 2022, 2021, and 2020, respectively, related to stock options with an exercise price per share greater than the average market value, resulting in an anti-dilutive effect on diluted earnings per share.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86"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OTHER COMPREHENSIVE (LOSS) INCOME</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Other comprehensive (loss) income consists of the foreign currency translation adjustment associated with our Canadian operations’ use of the Canadian dollar as their functional currency and changes in the unrealized gains on cash flow hedging instruments. The tax effects allocated to each component of other comprehensive (loss) income were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49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$(20,305)</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936</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20" w:type="dxa"/>
            <w:vAlign w:val="bottom"/>
            <w:gridSpan w:val="3"/>
          </w:tcPr>
          <w:p>
            <w:pPr>
              <w:ind w:left="880"/>
              <w:spacing w:after="0"/>
              <w:rPr>
                <w:sz w:val="20"/>
                <w:szCs w:val="20"/>
                <w:color w:val="auto"/>
              </w:rPr>
            </w:pPr>
            <w:r>
              <w:rPr>
                <w:rFonts w:ascii="Arial" w:cs="Arial" w:eastAsia="Arial" w:hAnsi="Arial"/>
                <w:sz w:val="18"/>
                <w:szCs w:val="18"/>
                <w:color w:val="auto"/>
              </w:rPr>
              <w:t>Unrealized gain on cash flow hedging instruments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Unrealized gain on cash flow hedging instruments, net of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80" w:type="dxa"/>
            <w:vAlign w:val="bottom"/>
            <w:vMerge w:val="restart"/>
          </w:tcPr>
          <w:p>
            <w:pPr>
              <w:spacing w:after="0"/>
              <w:rPr>
                <w:sz w:val="7"/>
                <w:szCs w:val="7"/>
                <w:color w:val="auto"/>
              </w:rPr>
            </w:pPr>
          </w:p>
        </w:tc>
        <w:tc>
          <w:tcPr>
            <w:tcW w:w="1600" w:type="dxa"/>
            <w:vAlign w:val="bottom"/>
          </w:tcPr>
          <w:p>
            <w:pPr>
              <w:spacing w:after="0"/>
              <w:rPr>
                <w:sz w:val="7"/>
                <w:szCs w:val="7"/>
                <w:color w:val="auto"/>
              </w:rPr>
            </w:pPr>
          </w:p>
        </w:tc>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loss (gain) on cash flow hedging instruments into earnings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5"/>
          </w:tcPr>
          <w:p>
            <w:pPr>
              <w:jc w:val="right"/>
              <w:ind w:right="80"/>
              <w:spacing w:after="0"/>
              <w:rPr>
                <w:sz w:val="20"/>
                <w:szCs w:val="20"/>
                <w:color w:val="auto"/>
              </w:rPr>
            </w:pPr>
            <w:r>
              <w:rPr>
                <w:rFonts w:ascii="Arial" w:cs="Arial" w:eastAsia="Arial" w:hAnsi="Arial"/>
                <w:sz w:val="18"/>
                <w:szCs w:val="18"/>
                <w:color w:val="auto"/>
              </w:rPr>
              <w:t>(86)</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Reclassification of loss (gain) on cash flow hedging instruments into earnings, net of tax</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420" w:type="dxa"/>
            <w:vAlign w:val="bottom"/>
            <w:gridSpan w:val="3"/>
          </w:tcPr>
          <w:p>
            <w:pPr>
              <w:ind w:left="880"/>
              <w:spacing w:after="0"/>
              <w:rPr>
                <w:sz w:val="20"/>
                <w:szCs w:val="20"/>
                <w:color w:val="auto"/>
              </w:rPr>
            </w:pPr>
            <w:r>
              <w:rPr>
                <w:rFonts w:ascii="Arial" w:cs="Arial" w:eastAsia="Arial" w:hAnsi="Arial"/>
                <w:sz w:val="18"/>
                <w:szCs w:val="18"/>
                <w:color w:val="auto"/>
              </w:rPr>
              <w:t>Other comprehensive (loss) income</w:t>
            </w:r>
          </w:p>
        </w:tc>
        <w:tc>
          <w:tcPr>
            <w:tcW w:w="940" w:type="dxa"/>
            <w:vAlign w:val="bottom"/>
            <w:gridSpan w:val="5"/>
          </w:tcPr>
          <w:p>
            <w:pPr>
              <w:ind w:left="18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(20,305)</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1,225</w:t>
            </w: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w w:val="90"/>
              </w:rPr>
              <w:t>The changes in each component of accumulated other comprehensive loss, net of tax, were as follows: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ind w:left="360"/>
              <w:spacing w:after="0"/>
              <w:rPr>
                <w:sz w:val="20"/>
                <w:szCs w:val="20"/>
                <w:color w:val="auto"/>
              </w:rPr>
            </w:pPr>
            <w:r>
              <w:rPr>
                <w:rFonts w:ascii="Arial" w:cs="Arial" w:eastAsia="Arial" w:hAnsi="Arial"/>
                <w:sz w:val="18"/>
                <w:szCs w:val="18"/>
                <w:color w:val="auto"/>
              </w:rPr>
              <w:t>Beginning balance</w:t>
            </w:r>
          </w:p>
        </w:tc>
        <w:tc>
          <w:tcPr>
            <w:tcW w:w="860" w:type="dxa"/>
            <w:vAlign w:val="bottom"/>
            <w:gridSpan w:val="4"/>
          </w:tcPr>
          <w:p>
            <w:pPr>
              <w:jc w:val="right"/>
              <w:ind w:right="61"/>
              <w:spacing w:after="0"/>
              <w:rPr>
                <w:sz w:val="20"/>
                <w:szCs w:val="20"/>
                <w:color w:val="auto"/>
              </w:rPr>
            </w:pPr>
            <w:r>
              <w:rPr>
                <w:rFonts w:ascii="Arial" w:cs="Arial" w:eastAsia="Arial" w:hAnsi="Arial"/>
                <w:sz w:val="18"/>
                <w:szCs w:val="18"/>
                <w:b w:val="1"/>
                <w:bCs w:val="1"/>
                <w:color w:val="auto"/>
                <w:w w:val="90"/>
              </w:rPr>
              <w:t>$(34,176)</w:t>
            </w: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8"/>
              </w:rPr>
              <w:t>$(34,694)</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$(38,599)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period other comprehensive (loss) income</w:t>
            </w:r>
          </w:p>
        </w:tc>
        <w:tc>
          <w:tcPr>
            <w:tcW w:w="86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(13,534)</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540" w:type="dxa"/>
            <w:vAlign w:val="bottom"/>
            <w:gridSpan w:val="2"/>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(47,710)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(34,176)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(34,694)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hedging instruments: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ind w:left="360"/>
              <w:spacing w:after="0"/>
              <w:rPr>
                <w:sz w:val="20"/>
                <w:szCs w:val="20"/>
                <w:color w:val="auto"/>
              </w:rPr>
            </w:pPr>
            <w:r>
              <w:rPr>
                <w:rFonts w:ascii="Arial" w:cs="Arial" w:eastAsia="Arial" w:hAnsi="Arial"/>
                <w:sz w:val="18"/>
                <w:szCs w:val="18"/>
                <w:color w:val="auto"/>
              </w:rPr>
              <w:t>Beginning balance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period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ind w:left="360"/>
              <w:spacing w:after="0"/>
              <w:rPr>
                <w:sz w:val="20"/>
                <w:szCs w:val="20"/>
                <w:color w:val="auto"/>
              </w:rPr>
            </w:pPr>
            <w:r>
              <w:rPr>
                <w:rFonts w:ascii="Arial" w:cs="Arial" w:eastAsia="Arial" w:hAnsi="Arial"/>
                <w:sz w:val="18"/>
                <w:szCs w:val="18"/>
                <w:color w:val="auto"/>
              </w:rPr>
              <w:t>Reclassification adjustment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88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(47,710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(34,176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SUPPLIER CONCENTRATION</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Purchases from our top ten suppliers comprised 84%, 83%, and 85% of all purchases made in 2022, 2021, and 2020, respectively. Our largest supplier, Carrier and its affiliates, accounted for 60%, 61%, and 63% of all purchases made in 2022, 2021, and 2020, respectively. See Note 19. A significant interruption by Carrier, or any of our other key suppliers, in the delivery of products could impair our ability to maintain current inventory levels and could materially impact our consolidated results of operations and consolidated financial position.</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December 31, 2022, $92,402 was recorded as a reduction of inventories related to pricing claim advances, of which $69,814 was provided by Carrier and its affiliates. At December 31, 2021, $78,454 was recorded related to pricing claim advances, of which $59,644 was provided by Carrier and its affiliates.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December 31,</w:t>
            </w:r>
          </w:p>
        </w:tc>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Land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676</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93,033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85,857</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vehicles,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120,811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108,110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83,354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68,762</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21,404</w:t>
            </w:r>
          </w:p>
        </w:tc>
      </w:tr>
      <w:tr>
        <w:trPr>
          <w:trHeight w:val="223"/>
        </w:trPr>
        <w:tc>
          <w:tcPr>
            <w:tcW w:w="8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321,903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284,809</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(196,479)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(173,790)</w:t>
            </w:r>
          </w:p>
        </w:tc>
      </w:tr>
      <w:tr>
        <w:trPr>
          <w:trHeight w:val="223"/>
        </w:trPr>
        <w:tc>
          <w:tcPr>
            <w:tcW w:w="8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125,424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111,019</w:t>
            </w:r>
          </w:p>
        </w:tc>
        <w:tc>
          <w:tcPr>
            <w:tcW w:w="10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included in selling, general and administrative expenses for the years ended December 31, 2022, 2021, and 2020, were $26,974, $22,566, and $19,963,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maintain an unsecured, $560,000 syndicated multicurrency revolving credit agreement, which we use to fund seasonal working capital needs and for other general corporate purposes, including acquisitions, dividends (if and as declared by our Board of Directors), capital expenditures, stock repurchases, and issuances of letters of credit. The credit facility has a seasonal component from October 1 to March 31, during which the borrowing capacity may be reduced to $460,000 at our discretion (which effectively reduces fees payable in respect of the unused portion of the commitment), and we effected this reduction in 2022. Included in the credit facility are a $100,000 swingline subfacility, a $10,000 letter of credit subfacility, a $75,000 alternative currency borrowing sublimit and an $8,000 Mexican borrowing sublimit.</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revolving credit agreement matures on December 5, 2023, and accordingly, borrowings outstanding under the revolving credit agreement are classified as current liabilities in our consolidated balance sheet at December 31, 2022. We believe that we will refinance the revolving credit agreement at or prior to its maturity on similar terms and subject to similar conditions.</w:t>
      </w:r>
    </w:p>
    <w:p>
      <w:pPr>
        <w:spacing w:after="0" w:line="18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Borrowings under the credit facility bear interest at either LIBOR-based rates plus a spread, which ranges from 87.5 to 150.0 basis-points (LIBOR plus 87.5 basis-points at December 31, 2022), depending on our ratio of total debt to EBITDA, or on rates based on the highest of the Federal Funds Effective Rate plus 0.5%, the Prime Rate or the Eurocurrency Rate plus 1.0%, in each case plus a spread which ranges from 0 to 50.0 basis-points (0 basis-points at December 31, 2022), depending on our ratio of total debt to EBITDA. We pay a variable commitment fee on the unused portion of the commitment under the revolving credit agreement, ranging from 7.5 to 20.0 basis-points (7.5 basis-points at December 31, 2022). During 2021, we paid fees of $22 in connection with the increase in the aggregate borrowing capacity of our revolving credit agreement, which are being amortized ratably through the maturity of the facility in December 2023.</w:t>
      </w:r>
    </w:p>
    <w:p>
      <w:pPr>
        <w:spacing w:after="0" w:line="17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At December 31, 2022 and December 31, 2021, $56,400 and $89,000, respectively, were outstanding under the revolving credit agreement. The revolving credit agreement contains customary affirmative and negative covenants, including financial covenants with respect to consolidated leverage and interest coverage ratios, and other customary restrictions. We believe we were in compliance with all covenants at December 31, 2022.</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86"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components of income tax expense from our wholly owned operations and investments and our controlling interest in CIAC and joint ventures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Carrier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60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4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4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71,475</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91,162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Foreign</w:t>
            </w:r>
          </w:p>
        </w:tc>
        <w:tc>
          <w:tcPr>
            <w:tcW w:w="4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112,251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122,858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State</w:t>
            </w: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5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tax expense</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125,717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128,797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We calculate our income tax expense and our effective tax rate for 100% of income attributable to our wholly owned operations and for our controlling interest of income attributable to CIAC and our joint ventures with Carrier, which are primarily taxed as partnerships for income tax purposes.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is a reconciliation of the effective income tax rate:</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252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30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b w:val="1"/>
                <w:bCs w:val="1"/>
                <w:color w:val="auto"/>
              </w:rPr>
              <w:t>21.0%</w:t>
            </w:r>
          </w:p>
        </w:tc>
        <w:tc>
          <w:tcPr>
            <w:tcW w:w="7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97"/>
              </w:rPr>
              <w:t>21.0%</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 and other</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Excess tax benefits from share-based compensation</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(8.6)</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Tax effects on foreign income</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FDII</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credits and other</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(0.4)</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Effective income tax rate attributable to Watsco, Inc.</w:t>
            </w:r>
          </w:p>
        </w:tc>
        <w:tc>
          <w:tcPr>
            <w:tcW w:w="30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4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23.4</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attributable to non-controlling interest</w:t>
            </w:r>
          </w:p>
        </w:tc>
        <w:tc>
          <w:tcPr>
            <w:tcW w:w="3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30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gridSpan w:val="2"/>
            <w:vMerge w:val="continue"/>
          </w:tcPr>
          <w:p>
            <w:pPr>
              <w:spacing w:after="0"/>
              <w:rPr>
                <w:sz w:val="19"/>
                <w:szCs w:val="19"/>
                <w:color w:val="auto"/>
              </w:rPr>
            </w:pPr>
          </w:p>
        </w:tc>
        <w:tc>
          <w:tcPr>
            <w:tcW w:w="3040" w:type="dxa"/>
            <w:vAlign w:val="bottom"/>
            <w:vMerge w:val="continue"/>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20" w:type="dxa"/>
            <w:vAlign w:val="bottom"/>
            <w:gridSpan w:val="3"/>
          </w:tcPr>
          <w:p>
            <w:pPr>
              <w:jc w:val="right"/>
              <w:ind w:right="3140"/>
              <w:spacing w:after="0"/>
              <w:rPr>
                <w:sz w:val="20"/>
                <w:szCs w:val="20"/>
                <w:color w:val="auto"/>
              </w:rPr>
            </w:pPr>
            <w:r>
              <w:rPr>
                <w:rFonts w:ascii="Arial" w:cs="Arial" w:eastAsia="Arial" w:hAnsi="Arial"/>
                <w:sz w:val="18"/>
                <w:szCs w:val="18"/>
                <w:color w:val="auto"/>
              </w:rPr>
              <w:t>F-22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significant components of our net deferred tax liabilities: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December 31,</w:t>
            </w:r>
          </w:p>
        </w:tc>
        <w:tc>
          <w:tcPr>
            <w:tcW w:w="4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89"/>
        </w:trPr>
        <w:tc>
          <w:tcPr>
            <w:tcW w:w="5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assets:</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27,037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30,854</w:t>
            </w: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Capitalized inventory costs and adjustments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3,449</w:t>
            </w: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1,328</w:t>
            </w: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Self-insurance reserves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1,027</w:t>
            </w: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8,711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6,081</w:t>
            </w: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3,959</w:t>
            </w:r>
          </w:p>
        </w:tc>
      </w:tr>
      <w:tr>
        <w:trPr>
          <w:trHeight w:val="223"/>
        </w:trPr>
        <w:tc>
          <w:tcPr>
            <w:tcW w:w="8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46,698</w:t>
            </w:r>
          </w:p>
        </w:tc>
        <w:tc>
          <w:tcPr>
            <w:tcW w:w="100" w:type="dxa"/>
            <w:vAlign w:val="bottom"/>
          </w:tcPr>
          <w:p>
            <w:pPr>
              <w:spacing w:after="0"/>
              <w:rPr>
                <w:sz w:val="19"/>
                <w:szCs w:val="19"/>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(5,107)</w:t>
            </w:r>
          </w:p>
        </w:tc>
      </w:tr>
      <w:tr>
        <w:trPr>
          <w:trHeight w:val="22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41,591</w:t>
            </w:r>
          </w:p>
        </w:tc>
        <w:tc>
          <w:tcPr>
            <w:tcW w:w="100" w:type="dxa"/>
            <w:vAlign w:val="bottom"/>
            <w:tcBorders>
              <w:bottom w:val="single" w:sz="8" w:color="CCEEFF"/>
            </w:tcBorders>
          </w:tcPr>
          <w:p>
            <w:pPr>
              <w:spacing w:after="0"/>
              <w:rPr>
                <w:sz w:val="19"/>
                <w:szCs w:val="19"/>
                <w:color w:val="auto"/>
              </w:rPr>
            </w:pPr>
          </w:p>
        </w:tc>
      </w:tr>
      <w:tr>
        <w:trPr>
          <w:trHeight w:val="223"/>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Deductible 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(88,316)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(82,704)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(18,744)</w:t>
            </w: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Unremitted earnings of domestic affiliates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(5,175)</w:t>
            </w: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2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(122,501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(110,242)</w:t>
            </w:r>
          </w:p>
        </w:tc>
        <w:tc>
          <w:tcPr>
            <w:tcW w:w="100" w:type="dxa"/>
            <w:vAlign w:val="bottom"/>
            <w:tcBorders>
              <w:bottom w:val="single" w:sz="8" w:color="CCEEFF"/>
            </w:tcBorders>
          </w:tcPr>
          <w:p>
            <w:pPr>
              <w:spacing w:after="0"/>
              <w:rPr>
                <w:sz w:val="19"/>
                <w:szCs w:val="19"/>
                <w:color w:val="auto"/>
              </w:rPr>
            </w:pPr>
          </w:p>
        </w:tc>
      </w:tr>
      <w:tr>
        <w:trPr>
          <w:trHeight w:val="223"/>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 (1)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(68,651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r>
      <w:tr>
        <w:trPr>
          <w:trHeight w:val="20"/>
        </w:trPr>
        <w:tc>
          <w:tcPr>
            <w:tcW w:w="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Net deferred tax liabilities have been included in the consolidated balance sheets in deferred income taxes and other liabilities.</w:t>
      </w:r>
    </w:p>
    <w:p>
      <w:pPr>
        <w:spacing w:after="0" w:line="22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Provisions of the Tax Cuts and Jobs Act of 2017 (the “TCJA”) such as the one-time repatriation transition tax and the global intangible low-taxed income (“GILTI”) for years beginning in 2018, effectively taxed the undistributed earnings previously deferred from U.S. federal and certain state income taxes and eliminated any additional U.S. taxation resulting from repatriation of earnings on non-US subsidiaries. GILTI is a tax on foreign income in excess of a deemed return on tangible assets of foreign corporations. We have elected to provide for the tax expense related to GILTI in the year the tax was incurred as a period expense. As of December 31, 2022, we have accumulated undistributed earnings generated by our foreign subsidiaries of approximately $148,000. Any additional taxes due with respect to such previously taxed earnings, if repatriated, would generally be limited to certain state income taxes and foreign withholding. Deferred taxes have been recorded for foreign withholding taxes on certain earnings of our foreign consolidated subsidiaries expected to be repatriated. We do not intend to distribute the remaining previously taxed foreign earnings and therefore have not recorded deferred taxes for certain state income taxes and foreign withholding on such earnings. The amount of certain state income taxes and foreign withholding that might be payable on the remaining amounts at December 31, 2022 is not practicable to estimate.</w:t>
      </w:r>
    </w:p>
    <w:p>
      <w:pPr>
        <w:spacing w:after="0" w:line="16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March 11, 2021, the America Rescue Plan Act of 2021 (the “ARPA”) was enacted. The ARPA expanded IRC Section 162(m) to include five additional most highly compensated individuals. The expansion of Section 162(m) coverage is effective for tax years beginning after December 31, 2026. Unlike the employees subject to Section 162(m) by virtue of being the Chief Executive Officer (“CEO”), Chief Financial Officer, or three most highly compensated named executive officers, an employee who is identified as one of the “additional” five employees is not considered to be a covered employee indefinitely. The five additional employees will be subject to the annual $1,000 cap on compensation, and will be determined annually.</w:t>
      </w:r>
    </w:p>
    <w:p>
      <w:pPr>
        <w:spacing w:after="0" w:line="16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On August 16, 2022, the Inflation Reduction Act (the “IRA”) was enacted, which introduces a new 15% corporate minimum tax based on adjusted financial statement income and a 1% excise tax on stock repurchases, effective January 1, 2023, and provisions intended to mitigate climate change, including tax credit incentives for investments that reduce greenhouse gas emissions. Based on our current analysis of the provisions, this legislation will not have a material impact on our consolidated financial statements.</w:t>
      </w:r>
    </w:p>
    <w:p>
      <w:pPr>
        <w:spacing w:after="0" w:line="18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Valuation allowances are provided to reduce the related deferred income tax assets to an amount which will, more likely than not, be realized. The valuation allowance was $8,171 and $5,107 at December 31, 2022 and 2021, respectively. The increase was primarily attributable to the impact on U.S deferred tax assets from share-based compensation deduction limitations related to the expansion of IRC Section 162(m).</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86"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At December 31, 2022, there were state net operating loss carryforwards of $165,951, some of which expire in 2026, with the majority having an indefinite carryforward period. At December 31, 2022, there were foreign net operating loss carryforwards of $14,916, which expire in varying amounts from 2036 through 2042. These amounts are available to offset future taxable income. There were no federal net operating loss carryforwards at December 31, 2022.</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U.S. federal income tax, income tax of multiple state jurisdictions and foreign income tax. We are subject to tax audits in the various jurisdictions until the respective statutes of limitations expire. We are currently under examination by the Internal Revenue Service for the 2019 tax year. We are no longer subject to U.S. federal tax examinations for tax years prior to 2019. For the majority of states and foreign jurisdictions, we are no longer subject to tax examinations for tax years prior to 2018. In addition, we are no longer subject to U.S. Virgin Islands federal tax examinations for tax years prior to 2015.</w:t>
      </w:r>
    </w:p>
    <w:p>
      <w:pPr>
        <w:spacing w:after="0" w:line="18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At December 31, 2022 and 2021, the total amount of gross unrecognized tax benefits (excluding the federal benefit received from state positions) was $7,752 and $6,727, respectively. Of these totals, $6,457 and $5,636, respectively, (net of the federal benefit received from state positions) represent the amount of unrecognized tax benefits that, if recognized, would affect the effective tax rate. Our policy is to recognize penalties within selling, general and administrative expenses and interest related to income tax matters in income tax expense in the consolidated statements of income. At December 31, 2022 and 2021, the cumulative amount of estimated accrued interest and penalties resulting from such unrecognized tax benefits was $1,343 and $1,211, respectively, and is included in deferred income taxes and other current liabilities in the accompanying consolidated balance sheets.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The changes in gross unrecognized tax benefits were as follows: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applicable statute of limitations</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760"/>
              <w:spacing w:after="0"/>
              <w:rPr>
                <w:sz w:val="20"/>
                <w:szCs w:val="20"/>
                <w:color w:val="auto"/>
              </w:rPr>
            </w:pPr>
            <w:r>
              <w:rPr>
                <w:rFonts w:ascii="Arial" w:cs="Arial" w:eastAsia="Arial" w:hAnsi="Arial"/>
                <w:sz w:val="18"/>
                <w:szCs w:val="18"/>
                <w:color w:val="auto"/>
              </w:rPr>
              <w:t>Balance at December 31, 2020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Reductions due to lapse of applicable statute of limitations</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applicable statute of limitations</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760"/>
              <w:spacing w:after="0"/>
              <w:rPr>
                <w:sz w:val="20"/>
                <w:szCs w:val="20"/>
                <w:color w:val="auto"/>
              </w:rPr>
            </w:pPr>
            <w:r>
              <w:rPr>
                <w:rFonts w:ascii="Arial" w:cs="Arial" w:eastAsia="Arial" w:hAnsi="Arial"/>
                <w:sz w:val="18"/>
                <w:szCs w:val="18"/>
                <w:color w:val="auto"/>
              </w:rPr>
              <w:t>Balance at December 31, 2022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6020" w:hanging="4"/>
        <w:spacing w:after="0" w:line="378" w:lineRule="auto"/>
        <w:tabs>
          <w:tab w:leader="none" w:pos="39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AND BENEFIT PLANS Share-Based Compensation Plans</w:t>
      </w:r>
    </w:p>
    <w:p>
      <w:pPr>
        <w:ind w:left="120" w:right="240"/>
        <w:spacing w:after="0" w:line="259" w:lineRule="auto"/>
        <w:rPr>
          <w:sz w:val="20"/>
          <w:szCs w:val="20"/>
          <w:color w:val="auto"/>
        </w:rPr>
      </w:pPr>
      <w:r>
        <w:rPr>
          <w:rFonts w:ascii="Arial" w:cs="Arial" w:eastAsia="Arial" w:hAnsi="Arial"/>
          <w:sz w:val="18"/>
          <w:szCs w:val="18"/>
          <w:color w:val="auto"/>
        </w:rPr>
        <w:t>We have two share-based compensation plans for employees. The 2021 Incentive Compensation Plan (the “2021 Plan”) provides for the award of a broad variety of share-based compensation alternatives such as restricted stock, non-qualified stock options, incentive stock options, performance awards, dividend equivalents, and stock appreciation rights at no less than 100% of the market price on the date the award is granted. To date, awards under the 2021 Plan consist of non-qualified stock options and restricted stock.</w:t>
      </w:r>
    </w:p>
    <w:p>
      <w:pPr>
        <w:spacing w:after="0" w:line="18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Under the 2021 Plan, the number of shares of Common and Class B common stock available for issuance is (i) 2,500,000, plus (ii) 7,327 shares of Common stock or Class B common stock that remained available for grant in connection with awards under the Watsco, Inc. 2014 Incentive Compensation Plan (the “2014 Plan”) on the date on which our shareholders approved the 2021 Plan, plus (iii) shares underlying currently outstanding awards issued under the 2014 Plan, which shares become reissuable under the 2021 Plan to the extent that such underlying shares are not issued due to their forfeiture, expiration, termination or otherwise. A total of 4,361 shares of Common and Class B common stock, net of cancellations, had been awarded under the 2021 Plan as of December 31, 2022. As of December 31, 2022, 2,502,966 shares of common stock were reserved for future grants under the 2021 Plan. Options under the 2021 Plan vest over two to four years of service and have contractual terms of five years. Awards of restricted stock, which are granted at no cost to the employee, vest upon attainment of a specified age, generally toward the end of an employee’s career at age 62 or older. Vesting may be accelerated in certain circumstances prior to the original vesting date.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8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80" w:right="100"/>
        <w:spacing w:after="0" w:line="342" w:lineRule="auto"/>
        <w:rPr>
          <w:sz w:val="20"/>
          <w:szCs w:val="20"/>
          <w:color w:val="auto"/>
        </w:rPr>
      </w:pPr>
      <w:r>
        <w:rPr>
          <w:rFonts w:ascii="Arial" w:cs="Arial" w:eastAsia="Arial" w:hAnsi="Arial"/>
          <w:sz w:val="16"/>
          <w:szCs w:val="16"/>
          <w:color w:val="auto"/>
        </w:rPr>
        <w:t>The 2014 Plan expired in 2021; therefore, no additional options may be granted. There were 361,075 options to exercise common stock outstanding under the 2014 Plan at December 31, 2022. Options under the 2014 Plan vest over two to four years of service and have contractual terms of five years.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stock option activity under the 2021 Plan and the 2014 Plan as of and for the year ended December 31, 2022:</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0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Term</w:t>
            </w: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602,488</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$ 205.30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104,500</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274.38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(113,230)</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166.08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(24,467)</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242.32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(9,666)</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176.80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Options outstanding at December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559,625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$ 225.01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2.74</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20,555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December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130,213</w:t>
            </w:r>
          </w:p>
        </w:tc>
        <w:tc>
          <w:tcPr>
            <w:tcW w:w="3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6"/>
              </w:rPr>
              <w:t>$ 174.30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1"/>
              </w:rPr>
              <w:t>1.50</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9,930</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80" w:type="dxa"/>
            <w:vAlign w:val="bottom"/>
            <w:gridSpan w:val="5"/>
          </w:tcPr>
          <w:p>
            <w:pPr>
              <w:jc w:val="right"/>
              <w:ind w:right="80"/>
              <w:spacing w:after="0"/>
              <w:rPr>
                <w:sz w:val="20"/>
                <w:szCs w:val="20"/>
                <w:color w:val="auto"/>
              </w:rPr>
            </w:pPr>
            <w:r>
              <w:rPr>
                <w:rFonts w:ascii="Arial" w:cs="Arial" w:eastAsia="Arial" w:hAnsi="Arial"/>
                <w:sz w:val="18"/>
                <w:szCs w:val="18"/>
                <w:color w:val="auto"/>
                <w:w w:val="90"/>
              </w:rPr>
              <w:t>The following is a summary of restricted stock activity as of and for the year ended December 31, 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9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outstanding at December 31, 2021</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3,459,661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4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143,059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290.55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(1,000,459)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4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207.83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at December 31, 2022</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2,589,261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112.53</w:t>
            </w:r>
          </w:p>
        </w:tc>
        <w:tc>
          <w:tcPr>
            <w:tcW w:w="24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weighted-average grant date fair value of restricted stock granted during 2022, 2021, and 2020 was $290.55, $254.73, and $193.89, respectively.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of restricted stock that vested during 2022, 2021, and 2020 was $271,781, $3,646, and $7,354, respectively.</w:t>
      </w:r>
    </w:p>
    <w:p>
      <w:pPr>
        <w:spacing w:after="0" w:line="211" w:lineRule="exact"/>
        <w:rPr>
          <w:sz w:val="20"/>
          <w:szCs w:val="20"/>
          <w:color w:val="auto"/>
        </w:rPr>
      </w:pPr>
    </w:p>
    <w:p>
      <w:pPr>
        <w:ind w:left="180" w:right="120"/>
        <w:spacing w:after="0" w:line="255" w:lineRule="auto"/>
        <w:rPr>
          <w:sz w:val="20"/>
          <w:szCs w:val="20"/>
          <w:color w:val="auto"/>
        </w:rPr>
      </w:pPr>
      <w:r>
        <w:rPr>
          <w:rFonts w:ascii="Arial" w:cs="Arial" w:eastAsia="Arial" w:hAnsi="Arial"/>
          <w:sz w:val="18"/>
          <w:szCs w:val="18"/>
          <w:color w:val="auto"/>
        </w:rPr>
        <w:t>During 2022, 320,468 shares of Class B common stock, which include the 311,408 surrendered shares referenced below, with an aggregate fair market value of $87,049 were withheld as payment in lieu of cash to satisfy tax withholding obligations in connection with the vesting of restricted stock. During 2021, 3,858 shares of Class B common stock with an aggregate fair market value of $1,078 were withheld as payment in lieu of cash to satisfy tax withholding obligations in connection with the vesting of restricted stock. During 2020, 11,693 shares of Common and Class B common stock with an aggregate fair market value of $2,299 were withheld as payment in lieu of cash to satisfy tax withholding obligations in connection with the vesting of restricted stock. These shares were retired upon delivery.</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Vesting of Restricted Stock Held by our CEO</w:t>
      </w:r>
    </w:p>
    <w:p>
      <w:pPr>
        <w:spacing w:after="0" w:line="121" w:lineRule="exact"/>
        <w:rPr>
          <w:sz w:val="20"/>
          <w:szCs w:val="20"/>
          <w:color w:val="auto"/>
        </w:rPr>
      </w:pPr>
    </w:p>
    <w:p>
      <w:pPr>
        <w:ind w:left="180"/>
        <w:spacing w:after="0" w:line="272" w:lineRule="auto"/>
        <w:rPr>
          <w:sz w:val="20"/>
          <w:szCs w:val="20"/>
          <w:color w:val="auto"/>
        </w:rPr>
      </w:pPr>
      <w:r>
        <w:rPr>
          <w:rFonts w:ascii="Arial" w:cs="Arial" w:eastAsia="Arial" w:hAnsi="Arial"/>
          <w:sz w:val="17"/>
          <w:szCs w:val="17"/>
          <w:color w:val="auto"/>
        </w:rPr>
        <w:t>On October 15, 2022, 975,622 shares of Class B restricted stock previously granted to our CEO during the period from 1997 to 2011 under various performance-based incentive plans vested. The vested shares had a value of $265,106 based on the closing price of our Class B common stock as of that date, which is deductible in our 2022 income tax return. The vesting of shares provided a cash benefit of approximately $67,000 in 2022 and reduced our provision for income taxes in 2022 by approximately $49,000. This vested value constitutes taxable compensation to our CEO for income tax purposes and was subject to statutory withholding. Upon vesting, we funded $104,319 in statutory withholding, which, in turn, was satisfied by the CEO through a cash payment to us of $19,700 and by the surrendering of 311,408 shares of Class B common stock. Accordingly, 664,214 shares of Class B common stock were retained by the CEO, and we retired the surrendered shares.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Share-Based Compensation Fair Value Assumptions</w:t>
      </w:r>
    </w:p>
    <w:p>
      <w:pPr>
        <w:spacing w:after="0" w:line="121" w:lineRule="exact"/>
        <w:rPr>
          <w:sz w:val="20"/>
          <w:szCs w:val="20"/>
          <w:color w:val="auto"/>
        </w:rPr>
      </w:pPr>
    </w:p>
    <w:p>
      <w:pPr>
        <w:ind w:left="180" w:right="180"/>
        <w:spacing w:after="0" w:line="263"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valuation model based on the weighted-average assumptions noted in the table below. The fair value of each stock option award, which is subject to graded vesting, is expensed, net of estimated forfeitures, on a straight-line basis over the requisite service period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60" w:top="486"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for each separately vesting portion of the stock option. We use historical data to estimate stock option forfeitures. The expected term of stock option awards granted represents the period of time that stock option awards granted are expected to be outstanding and was calculated using the simplified method for plain vanilla options, which we believe provides a reasonable estimate of expected life based on our historical data. The risk-free rate for periods within the contractual life of the stock option award is based on the yield curve of a zero-coupon U.S. Treasury bond on the date the stock option award is granted with a maturity equal to the expected term of the stock option award. Expected volatility is based on historical volatility of our stock.</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weighted-average assumptions used for stock options granted:</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2500" w:type="dxa"/>
            <w:vAlign w:val="bottom"/>
          </w:tcPr>
          <w:p>
            <w:pPr>
              <w:spacing w:after="0"/>
              <w:rPr>
                <w:sz w:val="16"/>
                <w:szCs w:val="16"/>
                <w:color w:val="auto"/>
              </w:rPr>
            </w:pPr>
          </w:p>
        </w:tc>
        <w:tc>
          <w:tcPr>
            <w:tcW w:w="2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term in years</w:t>
            </w:r>
          </w:p>
        </w:tc>
        <w:tc>
          <w:tcPr>
            <w:tcW w:w="2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4.25</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3.04%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0.79%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23.10%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20.89%</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3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2.84%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2.97%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$46.60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Stock Options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total intrinsic value of stock options exercised during 2022, 2021, and 2020 was $13,046, $16,903, and $8,753, respectively. Cash received from the exercise of stock options during 2022, 2021, and 2020 was $18,425, $19,338, and $17,608, respectively. The tax benefit from stock option exercises during 2022, 2021, and 2020 was $2,658, $3,595, and $1,586, respectively. During 2022, 2021, and 2020, 1,592 shares of Common stock with an aggregate fair market value of $438, 4,040 shares of Common stock with an aggregate fair market value of $1,179 and 11,455 shares of Common stock with an aggregate fair market value of $2,343, respectively, were withheld as payment in lieu of cash for stock option exercises and related tax withholdings. These shares were retired upon delivery.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on share-based compensation expense:</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Years Ended December 31,</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Stock options</w:t>
            </w:r>
          </w:p>
        </w:tc>
        <w:tc>
          <w:tcPr>
            <w:tcW w:w="306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3,856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2,908</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2,447</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24,965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22,457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28,821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At December 31, 2022, there was $8,390 of unrecognized pre-tax compensation expense related to stock options granted under the 2021 Plan, which is expected to be recognized over a weighted-average period of approximately 1.9 years. The total fair value of stock options that vested during 2022, 2021, and 2020 was $2,721, $2,621, and $2,177, respectively.</w:t>
      </w:r>
    </w:p>
    <w:p>
      <w:pPr>
        <w:spacing w:after="0" w:line="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At December 31, 2022, there was $193,089 of unrecognized pre-tax compensation expense related to restricted stock, which is expected to be recognized over a weighted-average period of approximately 11.7 years. Of this amount, approximately $54,000 is related to awards granted to our CEO, of which approximately $21,000, $24,000, and $9,000 vest in approximately 4, 6, and 7 years upon his attainment of age 86, 88, and 89, respectively, and approximately $40,000 is related to awards granted to our President, of which approximately $39,000 and $1,000 vest in approximately 21 and 23 years upon his attainment of age 62 and 64, respectively. In the event that vesting is accelerated for any circumstance, as defined in the related agreements, the remaining unrecognized share-based compensation expense would be immediately recognized as a charge to earnings with a corresponding tax benefit. At December 31, 2022, we were obligated to issue 39,602 shares of restricted stock to our CEO that vest in 7 years, 38,930 shares of restricted stock to our President that vest in 21 years, and an estimated 15,000 shares of restricted stock to various key leaders that vest in 5-13 years in connection with 2022’s performance-based incentive compensation program. On February 7, 2023, our President received a short-term incentive of $200,000 payable in 632 shares of Class B common stock in connection with his 2022 performance-based incentive program.</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The Watsco, Inc. Fourth Amended and Restated 1996 Qualified Employee Stock Purchase Plan (the “ESPP”) provides for up to 1,500,000 shares of Common stock to be available for purchase by our full-time employees with at least 90 days of service. The ESPP allows participating employees to purchase shares of Common stock at a 5% discount to the fair market value at specified times. During 2022, 2021, and 2020, employees purchased 4,101, 3,501, and 5,121 shares of Common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stock at an average price of $262.57, $239.11, and $171.89 per share, respectively. Cash dividends received by the ESPP were reinvested in Common stock and resulted in the issuance of 3,365, 2,962, and 3,964 additional shares during 2022, 2021, and 2020, respectively. We received net proceeds of $1,997, $1,676, and $1,649, respectively, during 2022, 2021, and 2020, for shares of our Common stock purchased under the ESPP. At December 31, 2022, 443,479 shares remained available for purchase under the ESPP.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have a profit sharing retirement plan for our employees that is qualified under Section 401(k) of the Internal Revenue Code. Annual matching contributions are made based on a percentage of eligible employee compensation deferrals. The contribution has historically been made with the issuance of Common stock to the plan on behalf of our employees. For the years ended December 31, 2022, 2021, and 2020, we issued 21,560, 22,752, and 25,216 shares of Common stock, respectively, to the plan, representing the Common stock discretionary matching contribution of $6,746, $5,154, and $4,543,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INVESTMENT IN UNCONSOLIDATED ENTITY</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Our first joint venture with Carrier, Carrier Enterprise, LLC, which we refer to as Carrier Enterprise I, has a 38.1% ownership interest in Russell Sigler, Inc. (“RSI”), an HVAC distributor operating from 35 locations in the Western U.S. Our proportionate share of the net income of RSI is included in other income in our consolidated statements of income.</w:t>
      </w:r>
    </w:p>
    <w:p>
      <w:pPr>
        <w:spacing w:after="0" w:line="7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Carrier Enterprise I is a party to a shareholders’ agreement (the “Shareholders’ Agreement”) with RSI and its shareholders, consisting of five family siblings, their children, and affiliates related to them. Pursuant to the Shareholders’ Agreement, RSI’s shareholders have the right to sell, and Carrier Enterprise I has the obligation to purchase, their respective shares of RSI for a purchase price determined based on the higher of book value or a multiple of EBIT, the latter of which Carrier Enterprise I used to calculate the price for its 38.1% investment held in RSI. RSI’s shareholders may transfer their respective shares of RSI common stock only to members of the Sigler family or to Carrier Enterprise I, and, at any time from and after the date on which Carrier Enterprise I owns 85% or more of RSI’s outstanding common stock, it has the right, but not the obligation, to purchase from RSI’s shareholders the remaining outstanding shares of RSI common stock. Additionally, Carrier Enterprise I has the right to appoint two of RSI’s six board members. Given Carrier Enterprise I’s 38.1% equity interest in RSI and its right to appoint two out of RSI’s six board members, this investment in RSI is accounted for under the equity method.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ACQUISITIONS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Makdad Industrial Supply Co., Inc.</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August 20, 2021, one of our wholly owned subsidiaries acquired Makdad Industrial Supply Co., Inc. (“MIS”), a distributor of air conditioning and heating products operating from six locations in Pennsylvania. Consideration for the purchase consisted of $3,164 in cash and the issuance of 3,627 shares of Common stock having a fair value of $997, net of cash acquired of $204. The purchase price resulted in the recognition of $1,041 in goodwill and intangibles. The fair value of the identified intangible assets was $596 and consisted of $423 in trade names and distribution rights, and $173 in customer relationships to be amortized over an 18-year period. The tax basis of such goodwill is deductible for income tax purposes over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Acme Refrigeration of Baton Rouge LLC</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May 7, 2021, we acquired certain assets and assumed certain liabilities of Acme Refrigeration of Baton Rouge LLC (“ACME”), a distributor of air conditioning, heating, and refrigeration products, operating from 18 locations in Louisiana and Mississippi, for $22,855 less certain average revolving indebtedness. We formed a new, wholly owned subsidiary, Acme Refrigeration LLC, which operates this business. Consideration for the purchase consisted of $18,051 in cash, 8,492 shares of Common stock having a fair value of $2,551, and $3,141 for repayment of indebtedness, net of cash acquired of $1,340. The purchase price resulted in the recognition of $3,710 in goodwill and intangibles. The fair value of the identified intangible assets was $2,124 and consisted of $1,508 in trade names and distribution rights, and $616 in customer relationships to be amortized over an 18-year period. The tax basis of such goodwill is deductible for income tax purposes over 15 years.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Temperature Equipment Corporation</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On April 9, 2021, we acquired certain assets and assumed certain liabilities comprising the HVAC distribution business of Temperature Equipment Corporation, an HVAC distributor operating from 32 locations in Illinois, Indiana, Kansas, Michigan, Minnesota, Missouri, and Wisconsin. We formed a new, stand-alone joint venture with Carrier, TEC Distribution LLC (“TEC”), that operates this business. We have an 80% controlling interest in TEC, and Carrier has a 20% non-controlling interest. Consideration for the purchase was paid in cash, consisting of $105,200 paid to Temperature Equipment Corporation (Carrier contributed $21,040 and we contributed $84,160) and $1,497 for repayment of indebtedness.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86"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purchase price resulted in the recognition of $38,624 in goodwill and intangibles. The fair value of the identified intangible assets was $19,900 and consisted of $15,700 in trade names and distribution rights, and $4,200 in customer relationships to be amortized over an 18-year period. The tax basis of such goodwill is deductible for income tax purposes over 15 years.</w:t>
      </w:r>
    </w:p>
    <w:p>
      <w:pPr>
        <w:spacing w:after="0" w:line="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table below presents the allocation of the total consideration to tangible and intangible assets acquired and liabilities assumed from the acquisition of our 80% controlling interest in TEC based on their respective fair values as of April 9, 2021:</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33,315</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71,325</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53,829</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18,724</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19,900</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(25,393)</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(20,509)</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(48,046)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106,697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results of operations of these acquisitions have been included in the consolidated financial statements from their respective dates of acquisition. The pro forma effect of these acquisitions was not deemed significant to the consolidated financial statements.</w:t>
      </w:r>
    </w:p>
    <w:p>
      <w:pPr>
        <w:sectPr>
          <w:pgSz w:w="11900" w:h="16838" w:orient="portrait"/>
          <w:cols w:equalWidth="0" w:num="1">
            <w:col w:w="11080"/>
          </w:cols>
          <w:pgMar w:left="320" w:top="486" w:right="499" w:bottom="144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GOODWILL AND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Acquired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Acquired goodwill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Allocation to intangible assets related to 2021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December 31,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comprised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hanging="113"/>
        <w:spacing w:after="0"/>
        <w:tabs>
          <w:tab w:leader="none" w:pos="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412,486</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21,291</w:t>
      </w:r>
    </w:p>
    <w:p>
      <w:pPr>
        <w:spacing w:after="0" w:line="9"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368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2"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434,019</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(596)</w:t>
      </w:r>
    </w:p>
    <w:p>
      <w:pPr>
        <w:spacing w:after="0" w:line="9"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(2,772)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368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auto"/>
        </w:rPr>
        <w:t>$ 430,711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4368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7840" w:space="720"/>
            <w:col w:w="2520"/>
          </w:cols>
          <w:pgMar w:left="320" w:top="486" w:right="499" w:bottom="1440" w:gutter="0" w:footer="0" w:header="0"/>
          <w:type w:val="continuous"/>
        </w:sectPr>
      </w:pPr>
    </w:p>
    <w:p>
      <w:pPr>
        <w:spacing w:after="0" w:line="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December 31,</w:t>
            </w: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9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82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180" w:type="dxa"/>
            <w:vAlign w:val="bottom"/>
            <w:gridSpan w:val="2"/>
            <w:vMerge w:val="continue"/>
          </w:tcPr>
          <w:p>
            <w:pPr>
              <w:spacing w:after="0"/>
              <w:rPr>
                <w:sz w:val="15"/>
                <w:szCs w:val="15"/>
                <w:color w:val="auto"/>
              </w:rPr>
            </w:pPr>
          </w:p>
        </w:tc>
        <w:tc>
          <w:tcPr>
            <w:tcW w:w="1080" w:type="dxa"/>
            <w:vAlign w:val="bottom"/>
            <w:gridSpan w:val="2"/>
          </w:tcPr>
          <w:p>
            <w:pPr>
              <w:jc w:val="center"/>
              <w:ind w:left="219"/>
              <w:spacing w:after="0" w:line="158" w:lineRule="exact"/>
              <w:rPr>
                <w:sz w:val="20"/>
                <w:szCs w:val="20"/>
                <w:color w:val="auto"/>
              </w:rPr>
            </w:pPr>
            <w:r>
              <w:rPr>
                <w:rFonts w:ascii="Arial" w:cs="Arial" w:eastAsia="Arial" w:hAnsi="Arial"/>
                <w:sz w:val="14"/>
                <w:szCs w:val="14"/>
                <w:b w:val="1"/>
                <w:bCs w:val="1"/>
                <w:color w:val="auto"/>
                <w:w w:val="89"/>
              </w:rPr>
              <w:t>Useful Lives</w:t>
            </w: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Indefinite</w:t>
            </w:r>
          </w:p>
        </w:tc>
        <w:tc>
          <w:tcPr>
            <w:tcW w:w="5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lived intangible assets—Trade names, trademarks, and distribution rights</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$154,086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$158,389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Finite lived intangible assets: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2"/>
            <w:shd w:val="clear" w:color="auto" w:fill="CCEEFF"/>
          </w:tcPr>
          <w:p>
            <w:pPr>
              <w:jc w:val="center"/>
              <w:ind w:left="219"/>
              <w:spacing w:after="0"/>
              <w:rPr>
                <w:sz w:val="20"/>
                <w:szCs w:val="20"/>
                <w:color w:val="auto"/>
              </w:rPr>
            </w:pPr>
            <w:r>
              <w:rPr>
                <w:rFonts w:ascii="Arial" w:cs="Arial" w:eastAsia="Arial" w:hAnsi="Arial"/>
                <w:sz w:val="18"/>
                <w:szCs w:val="18"/>
                <w:color w:val="auto"/>
                <w:w w:val="86"/>
              </w:rPr>
              <w:t>7-18 years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83,943</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Patented and unpatented technology</w:t>
            </w:r>
          </w:p>
        </w:tc>
        <w:tc>
          <w:tcPr>
            <w:tcW w:w="3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7 years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1,611</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(65,599)</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(60,890)</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Finite lived intangible assets, net</w:t>
            </w:r>
          </w:p>
        </w:tc>
        <w:tc>
          <w:tcPr>
            <w:tcW w:w="3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28,507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175,191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Amortization expense related to finite lived intangible assets included in selling, general and administrative expenses for the years ended December 31, 2022, 2021, and 2020, were $4,709, $5,561, and $5,945,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86" w:right="49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Based on the finite lived intangible assets recorded at December 31, 2022, annual amortization for the next five years is expected to approximate the following:</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640" w:type="dxa"/>
            <w:vAlign w:val="bottom"/>
            <w:shd w:val="clear" w:color="auto" w:fill="CCEEFF"/>
          </w:tcPr>
          <w:p>
            <w:pPr>
              <w:jc w:val="right"/>
              <w:ind w:right="3190"/>
              <w:spacing w:after="0"/>
              <w:rPr>
                <w:sz w:val="20"/>
                <w:szCs w:val="20"/>
                <w:color w:val="auto"/>
              </w:rPr>
            </w:pPr>
            <w:r>
              <w:rPr>
                <w:rFonts w:ascii="Arial" w:cs="Arial" w:eastAsia="Arial" w:hAnsi="Arial"/>
                <w:sz w:val="18"/>
                <w:szCs w:val="18"/>
                <w:color w:val="auto"/>
                <w:w w:val="84"/>
              </w:rPr>
              <w:t>2023</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3640" w:type="dxa"/>
            <w:vAlign w:val="bottom"/>
          </w:tcPr>
          <w:p>
            <w:pPr>
              <w:jc w:val="right"/>
              <w:ind w:right="3190"/>
              <w:spacing w:after="0"/>
              <w:rPr>
                <w:sz w:val="20"/>
                <w:szCs w:val="20"/>
                <w:color w:val="auto"/>
              </w:rPr>
            </w:pPr>
            <w:r>
              <w:rPr>
                <w:rFonts w:ascii="Arial" w:cs="Arial" w:eastAsia="Arial" w:hAnsi="Arial"/>
                <w:sz w:val="18"/>
                <w:szCs w:val="18"/>
                <w:color w:val="auto"/>
                <w:w w:val="84"/>
              </w:rPr>
              <w:t>2024</w:t>
            </w:r>
          </w:p>
        </w:tc>
        <w:tc>
          <w:tcPr>
            <w:tcW w:w="38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3640" w:type="dxa"/>
            <w:vAlign w:val="bottom"/>
            <w:shd w:val="clear" w:color="auto" w:fill="CCEEFF"/>
          </w:tcPr>
          <w:p>
            <w:pPr>
              <w:jc w:val="right"/>
              <w:ind w:right="3190"/>
              <w:spacing w:after="0"/>
              <w:rPr>
                <w:sz w:val="20"/>
                <w:szCs w:val="20"/>
                <w:color w:val="auto"/>
              </w:rPr>
            </w:pPr>
            <w:r>
              <w:rPr>
                <w:rFonts w:ascii="Arial" w:cs="Arial" w:eastAsia="Arial" w:hAnsi="Arial"/>
                <w:sz w:val="18"/>
                <w:szCs w:val="18"/>
                <w:color w:val="auto"/>
                <w:w w:val="84"/>
              </w:rPr>
              <w:t>2025</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3640" w:type="dxa"/>
            <w:vAlign w:val="bottom"/>
          </w:tcPr>
          <w:p>
            <w:pPr>
              <w:jc w:val="right"/>
              <w:ind w:right="3190"/>
              <w:spacing w:after="0"/>
              <w:rPr>
                <w:sz w:val="20"/>
                <w:szCs w:val="20"/>
                <w:color w:val="auto"/>
              </w:rPr>
            </w:pPr>
            <w:r>
              <w:rPr>
                <w:rFonts w:ascii="Arial" w:cs="Arial" w:eastAsia="Arial" w:hAnsi="Arial"/>
                <w:sz w:val="18"/>
                <w:szCs w:val="18"/>
                <w:color w:val="auto"/>
                <w:w w:val="84"/>
              </w:rPr>
              <w:t>2026</w:t>
            </w:r>
          </w:p>
        </w:tc>
        <w:tc>
          <w:tcPr>
            <w:tcW w:w="384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16"/>
        </w:trPr>
        <w:tc>
          <w:tcPr>
            <w:tcW w:w="3640" w:type="dxa"/>
            <w:vAlign w:val="bottom"/>
            <w:shd w:val="clear" w:color="auto" w:fill="CCEEFF"/>
          </w:tcPr>
          <w:p>
            <w:pPr>
              <w:jc w:val="right"/>
              <w:ind w:right="3190"/>
              <w:spacing w:after="0"/>
              <w:rPr>
                <w:sz w:val="20"/>
                <w:szCs w:val="20"/>
                <w:color w:val="auto"/>
              </w:rPr>
            </w:pPr>
            <w:r>
              <w:rPr>
                <w:rFonts w:ascii="Arial" w:cs="Arial" w:eastAsia="Arial" w:hAnsi="Arial"/>
                <w:sz w:val="18"/>
                <w:szCs w:val="18"/>
                <w:color w:val="auto"/>
                <w:w w:val="84"/>
              </w:rPr>
              <w:t>2027</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bl>
    <w:p>
      <w:pPr>
        <w:spacing w:after="0" w:line="306" w:lineRule="exact"/>
        <w:rPr>
          <w:sz w:val="20"/>
          <w:szCs w:val="20"/>
          <w:color w:val="auto"/>
        </w:rPr>
      </w:pPr>
    </w:p>
    <w:p>
      <w:pPr>
        <w:ind w:left="120" w:right="8420" w:hanging="4"/>
        <w:spacing w:after="0" w:line="377" w:lineRule="auto"/>
        <w:tabs>
          <w:tab w:leader="none" w:pos="39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Common stock and Class B common stock share equally in earnings and are identical in most other respects except: (i) Common stock is entitled to one vote on most matters and each share of Class B common stock is entitled to ten votes; (ii) shareholders of Common stock are entitled to elect 25% of the Board of Directors (rounded up to the nearest whole number) and Class B shareholders are entitled to elect the balance of the Board of Directors; (iii) cash dividends may be paid on Common stock without paying a cash dividend on Class B common stock and no cash dividend may be paid on Class B common stock unless at least an equal cash dividend is paid on Common stock; and (iv) Class B common stock is convertible at any time into Common stock on a one-for-one basis at the option of the shareholder.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are authorized to issue preferred stock with such designation, rights and preferences as may be determined from time to time by our Board of Directors. Accordingly, the Board of Directors is empowered, without shareholder approval, to issue preferred stock with dividend, liquidation, conversion, voting or other rights which could adversely affect the voting power or other rights of the holders of our Common stock and Class B common stock and, in certain instances, could adversely affect the market price of this stock. We had no preferred stock outstanding at December 31, 2022 or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Offering Program</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On February 25, 2022, we entered into an amended and restated sales agreement with Robert W. Baird &amp; Co. Inc. and Goldman Sachs &amp; Co. LLC, which enables the Company to issue and sell shares of Common stock in one or more negotiated transactions or transactions that are deemed to be “at the market” offerings as defined in Rule 415 under the Securities Act of 1933, as amended (the “Securities Act”), for a maximum aggregate offering amount of up to $300,000 (the “ATM Program”). The offer and sale of our Common stock pursuant to the ATM Program has been registered under the Securities Act pursuant to our automatically effective shelf registration statement on Form S-3 (File No. 333-260758). As of December 31, 2022, no shares of Common stock had been sold under the ATM Program.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September 1999, our Board of Directors authorized the repurchase, at management’s discretion, of up to 7,500,000 shares of common stock in the open market or via private transactions. Shares repurchased under the program are accounted for using the cost method and result in a reduction of shareholders’ equity. No shares were repurchased during 2022, 2021 or 2020. We last repurchased shares under this plan during 2008. In aggregate, 6,322,650 shares of Common stock and 48,263 shares of Class B common stock have been repurchased at a cost of $114,425 since the inception of the program. At December 31, 2022, there were 1,129,087 shares remaining authorized for repurchase under the program. The IRA includes, among other provisions, a 1% excise tax on corporate stock repurchases in tax years beginning after December 31, 2022. In consideration of any further stock repurchases under our repurchase program, we intend to evaluate the impact of the IRA’s 1% excise tax on stock repurchases in tax years beginning after December 31,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Released from Escrow</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August 23, 2018 we issued 23,230 shares of Common stock into escrow as contingent consideration in connection with the acquisition of Alert Labs, Inc. The shares were subject to certain performance metrics within a three-year measurement period. On November 12, 2021, the shares, and related cash dividends paid during the three-year period, were released to us from escrow as the performance metrics were not met. These shares were retired upon delivery.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86"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8320" w:hanging="4"/>
        <w:spacing w:after="0" w:line="400" w:lineRule="auto"/>
        <w:tabs>
          <w:tab w:leader="none" w:pos="39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Recorded Financial Instruments</w:t>
      </w:r>
    </w:p>
    <w:p>
      <w:pPr>
        <w:ind w:left="120"/>
        <w:spacing w:after="0" w:line="259" w:lineRule="auto"/>
        <w:rPr>
          <w:sz w:val="20"/>
          <w:szCs w:val="20"/>
          <w:color w:val="auto"/>
        </w:rPr>
      </w:pPr>
      <w:r>
        <w:rPr>
          <w:rFonts w:ascii="Arial" w:cs="Arial" w:eastAsia="Arial" w:hAnsi="Arial"/>
          <w:sz w:val="18"/>
          <w:szCs w:val="18"/>
          <w:color w:val="auto"/>
        </w:rPr>
        <w:t>Recorded financial instruments consist of cash and cash equivalents, accounts receivable, accounts payable, the current portion of long-term obligations, and borrowings under our revolving credit agreement. At December 31, 2022 and 2021, the fair values of cash and cash equivalents, accounts receivable, accounts payable, and the current portion of long-term obligations approximated their carrying values due to the short-term nature of these instruments.</w:t>
      </w:r>
    </w:p>
    <w:p>
      <w:pPr>
        <w:spacing w:after="0" w:line="16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fair values of variable rate borrowings under our revolving credit agreement also approximate their carrying value based upon interest rates available for similar instruments with consistent terms and remaining maturities.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both December 31, 2022 and 2021, we were contingently liable under a standby letter of credit for $150, which was required by a lease for real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property. Additionally, at December 31, 2022 and 2021, we were contingently liable under various performance bonds aggregating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$13,700 and $7,900, respectively, which are used as collateral to cover any contingencies related to our nonperformance under agreements with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customers. We do not expect that any material losses or obligations will result from the issuance of the standby letter of credit or performance bonds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because we expect to meet our obligations under our lease for real property and to certain customers in the ordinary course of business.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accounts receivable. Concentrations of credit risk are limited due to the large number of customers comprising the customer base and their dispersion across many different geographical regions. We also have access to credit insurance programs which are used as an additional means to mitigate credit risk.</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DERIVATIVES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enter into foreign currency forward and option contracts to offset the earnings impact that foreign exchange rate fluctuations would otherwise have on certain monetary liabilities that are denominated in nonfunctional currencies.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Hedging Instruments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enter into foreign currency forward contracts that are designated as cash flow hedges. The settlement of these derivatives results in reclassifications from accumulated other comprehensive loss to earnings for the period in which the settlement of these instruments occurs. The maximum period for which we hedge our cash flow using these instruments is 12 months. At December 31, 2022, no foreign currency forward contracts were designated as cash flow hedges.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from foreign exchange derivative instruments designated as cash flow hedges was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55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Gain recorded in accumulated other comprehensive loss</w:t>
            </w: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w:t>
            </w:r>
          </w:p>
        </w:tc>
        <w:tc>
          <w:tcPr>
            <w:tcW w:w="40" w:type="dxa"/>
            <w:vAlign w:val="bottom"/>
            <w:tcBorders>
              <w:top w:val="single" w:sz="8" w:color="CCEEFF"/>
            </w:tcBorders>
            <w:shd w:val="clear" w:color="auto" w:fill="CCEEFF"/>
          </w:tcPr>
          <w:p>
            <w:pPr>
              <w:spacing w:after="0"/>
              <w:rPr>
                <w:sz w:val="17"/>
                <w:szCs w:val="17"/>
                <w:color w:val="auto"/>
              </w:rPr>
            </w:pPr>
          </w:p>
        </w:tc>
      </w:tr>
      <w:tr>
        <w:trPr>
          <w:trHeight w:val="234"/>
        </w:trPr>
        <w:tc>
          <w:tcPr>
            <w:tcW w:w="7160" w:type="dxa"/>
            <w:vAlign w:val="bottom"/>
            <w:gridSpan w:val="2"/>
          </w:tcPr>
          <w:p>
            <w:pPr>
              <w:spacing w:after="0"/>
              <w:rPr>
                <w:sz w:val="20"/>
                <w:szCs w:val="20"/>
                <w:color w:val="auto"/>
              </w:rPr>
            </w:pPr>
            <w:r>
              <w:rPr>
                <w:rFonts w:ascii="Arial" w:cs="Arial" w:eastAsia="Arial" w:hAnsi="Arial"/>
                <w:sz w:val="18"/>
                <w:szCs w:val="18"/>
                <w:color w:val="auto"/>
              </w:rPr>
              <w:t>Loss reclassified from accumulated other comprehensive loss into earnings</w:t>
            </w:r>
          </w:p>
        </w:tc>
        <w:tc>
          <w:tcPr>
            <w:tcW w:w="420" w:type="dxa"/>
            <w:vAlign w:val="bottom"/>
          </w:tcPr>
          <w:p>
            <w:pPr>
              <w:spacing w:after="0"/>
              <w:rPr>
                <w:sz w:val="20"/>
                <w:szCs w:val="20"/>
                <w:color w:val="auto"/>
              </w:rPr>
            </w:pPr>
            <w:r>
              <w:rPr>
                <w:rFonts w:ascii="Arial" w:cs="Arial" w:eastAsia="Arial" w:hAnsi="Arial"/>
                <w:sz w:val="18"/>
                <w:szCs w:val="18"/>
                <w:b w:val="1"/>
                <w:bCs w:val="1"/>
                <w:color w:val="auto"/>
              </w:rPr>
              <w:t>$ —</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305</w:t>
            </w:r>
          </w:p>
        </w:tc>
      </w:tr>
    </w:tbl>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have also entered into foreign currency forward and option contracts that are either not designated as hedges or did not qualify for hedge accounting. These derivative instruments were effective economic hedges for all of the periods presented. The fair value gains and losses on these contracts are recognized in earnings as a component of selling, general and administrative expenses. We had only one foreign currency exchange contract not designated as a hedging instrument at December 31, 2022, the total notional value of which was $3,300. Such contract expired in January 2023.</w:t>
      </w:r>
    </w:p>
    <w:p>
      <w:pPr>
        <w:spacing w:after="0" w:line="15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We recognized losses of $917, $237, and $490 from foreign currency forward and option contracts not designated as hedging instruments in our consolidated statements of income for 2022, 2021, and 2020, respectively.</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following table summarizes the fair value of derivative instruments, which consist solely of foreign exchange contracts, included in accrued expenses and other current liabilities in our consolidated balance sheets. See Note 17.</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December 31,</w:t>
            </w:r>
          </w:p>
        </w:tc>
        <w:tc>
          <w:tcPr>
            <w:tcW w:w="2820" w:type="dxa"/>
            <w:vAlign w:val="bottom"/>
          </w:tcPr>
          <w:p>
            <w:pPr>
              <w:spacing w:after="0"/>
              <w:rPr>
                <w:sz w:val="14"/>
                <w:szCs w:val="14"/>
                <w:color w:val="auto"/>
              </w:rPr>
            </w:pPr>
          </w:p>
        </w:tc>
        <w:tc>
          <w:tcPr>
            <w:tcW w:w="12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5"/>
              </w:rPr>
              <w:t>Asset Derivatives</w:t>
            </w:r>
          </w:p>
        </w:tc>
        <w:tc>
          <w:tcPr>
            <w:tcW w:w="340" w:type="dxa"/>
            <w:vAlign w:val="bottom"/>
          </w:tcPr>
          <w:p>
            <w:pPr>
              <w:spacing w:after="0"/>
              <w:rPr>
                <w:sz w:val="14"/>
                <w:szCs w:val="14"/>
                <w:color w:val="auto"/>
              </w:rPr>
            </w:pPr>
          </w:p>
        </w:tc>
        <w:tc>
          <w:tcPr>
            <w:tcW w:w="1460" w:type="dxa"/>
            <w:vAlign w:val="bottom"/>
            <w:gridSpan w:val="6"/>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128"/>
        </w:trPr>
        <w:tc>
          <w:tcPr>
            <w:tcW w:w="4260" w:type="dxa"/>
            <w:vAlign w:val="bottom"/>
            <w:gridSpan w:val="3"/>
            <w:vMerge w:val="continue"/>
          </w:tcPr>
          <w:p>
            <w:pPr>
              <w:spacing w:after="0"/>
              <w:rPr>
                <w:sz w:val="11"/>
                <w:szCs w:val="11"/>
                <w:color w:val="auto"/>
              </w:rPr>
            </w:pPr>
          </w:p>
        </w:tc>
        <w:tc>
          <w:tcPr>
            <w:tcW w:w="28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3"/>
              </w:rPr>
              <w:t>2021</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2022</w:t>
            </w: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Derivatives designated as hedging instruments</w:t>
            </w:r>
          </w:p>
        </w:tc>
        <w:tc>
          <w:tcPr>
            <w:tcW w:w="28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Derivatives not designated as hedging instruments</w:t>
            </w:r>
          </w:p>
        </w:tc>
        <w:tc>
          <w:tcPr>
            <w:tcW w:w="28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 instruments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40" w:type="dxa"/>
            <w:vAlign w:val="bottom"/>
            <w:gridSpan w:val="2"/>
          </w:tcPr>
          <w:p>
            <w:pPr>
              <w:jc w:val="right"/>
              <w:ind w:right="2179"/>
              <w:spacing w:after="0"/>
              <w:rPr>
                <w:sz w:val="20"/>
                <w:szCs w:val="20"/>
                <w:color w:val="auto"/>
              </w:rPr>
            </w:pPr>
            <w:r>
              <w:rPr>
                <w:rFonts w:ascii="Arial" w:cs="Arial" w:eastAsia="Arial" w:hAnsi="Arial"/>
                <w:sz w:val="18"/>
                <w:szCs w:val="18"/>
                <w:color w:val="auto"/>
              </w:rPr>
              <w:t>F-30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our assets and liabilities carried at fair value that are measured on a recurring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12"/>
          </w:tcPr>
          <w:p>
            <w:pPr>
              <w:ind w:left="180"/>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12"/>
          </w:tcPr>
          <w:p>
            <w:pPr>
              <w:jc w:val="center"/>
              <w:ind w:right="60"/>
              <w:spacing w:after="0"/>
              <w:rPr>
                <w:sz w:val="20"/>
                <w:szCs w:val="20"/>
                <w:color w:val="auto"/>
              </w:rPr>
            </w:pPr>
            <w:r>
              <w:rPr>
                <w:rFonts w:ascii="Arial" w:cs="Arial" w:eastAsia="Arial" w:hAnsi="Arial"/>
                <w:sz w:val="14"/>
                <w:szCs w:val="14"/>
                <w:b w:val="1"/>
                <w:bCs w:val="1"/>
                <w:color w:val="auto"/>
                <w:w w:val="92"/>
              </w:rPr>
              <w:t>at December 31, 2022 Using</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top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w w:val="88"/>
              </w:rPr>
              <w:t>Level 2</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4440" w:type="dxa"/>
            <w:vAlign w:val="bottom"/>
            <w:gridSpan w:val="4"/>
          </w:tcPr>
          <w:p>
            <w:pPr>
              <w:ind w:left="920"/>
              <w:spacing w:after="0"/>
              <w:rPr>
                <w:sz w:val="20"/>
                <w:szCs w:val="20"/>
                <w:color w:val="auto"/>
              </w:rPr>
            </w:pPr>
            <w:r>
              <w:rPr>
                <w:rFonts w:ascii="Arial" w:cs="Arial" w:eastAsia="Arial" w:hAnsi="Arial"/>
                <w:sz w:val="18"/>
                <w:szCs w:val="18"/>
                <w:color w:val="auto"/>
              </w:rPr>
              <w:t>Other assets</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678</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$ 678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equities</w:t>
            </w:r>
          </w:p>
        </w:tc>
        <w:tc>
          <w:tcPr>
            <w:tcW w:w="444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Other assets</w:t>
            </w:r>
          </w:p>
        </w:tc>
        <w:tc>
          <w:tcPr>
            <w:tcW w:w="8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$ 1,000</w:t>
            </w:r>
          </w:p>
        </w:tc>
        <w:tc>
          <w:tcPr>
            <w:tcW w:w="0" w:type="dxa"/>
            <w:vAlign w:val="bottom"/>
          </w:tcPr>
          <w:p>
            <w:pPr>
              <w:spacing w:after="0"/>
              <w:rPr>
                <w:sz w:val="1"/>
                <w:szCs w:val="1"/>
                <w:color w:val="auto"/>
              </w:rPr>
            </w:pPr>
          </w:p>
        </w:tc>
      </w:tr>
      <w:tr>
        <w:trPr>
          <w:trHeight w:val="369"/>
        </w:trPr>
        <w:tc>
          <w:tcPr>
            <w:tcW w:w="3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3"/>
              </w:rPr>
              <w:t>Fair Value Measurements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1"/>
              </w:rPr>
              <w:t>at December 31, 2021 Using</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Other assets</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860" w:type="dxa"/>
            <w:vAlign w:val="bottom"/>
            <w:gridSpan w:val="5"/>
          </w:tcPr>
          <w:p>
            <w:pPr>
              <w:jc w:val="right"/>
              <w:ind w:right="240"/>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financial instruments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Accrued expenses and other current liabilities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description of the valuation techniques used for these assets and liabilities, as well as the level of input used to measure fair value:</w:t>
      </w:r>
    </w:p>
    <w:p>
      <w:pPr>
        <w:spacing w:after="0" w:line="14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 these investments are exchange-traded equity securities. Fair values for these investments are based on closing stock prices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and are therefore classified within Level 1 of the fair value hierarchy.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Private equities </w:t>
      </w:r>
      <w:r>
        <w:rPr>
          <w:rFonts w:ascii="Arial" w:cs="Arial" w:eastAsia="Arial" w:hAnsi="Arial"/>
          <w:sz w:val="18"/>
          <w:szCs w:val="18"/>
          <w:color w:val="auto"/>
        </w:rPr>
        <w:t>– other investment in which fair value inputs are unobservable.</w:t>
      </w:r>
    </w:p>
    <w:p>
      <w:pPr>
        <w:spacing w:after="0" w:line="225"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these derivatives are foreign currency forward and option contracts. See Note 16. Fair value is based on 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inputs, such as forward rates in active markets; therefore, we classify these derivatives within Level 2 of the valuation hierarchy.</w:t>
      </w:r>
    </w:p>
    <w:p>
      <w:pPr>
        <w:spacing w:after="0" w:line="228" w:lineRule="exact"/>
        <w:rPr>
          <w:sz w:val="20"/>
          <w:szCs w:val="20"/>
          <w:color w:val="auto"/>
        </w:rPr>
      </w:pPr>
    </w:p>
    <w:p>
      <w:pPr>
        <w:ind w:left="120" w:right="7300" w:hanging="4"/>
        <w:spacing w:after="0" w:line="378" w:lineRule="auto"/>
        <w:tabs>
          <w:tab w:leader="none" w:pos="39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Claims, and Assessments</w:t>
      </w:r>
    </w:p>
    <w:p>
      <w:pPr>
        <w:ind w:left="120" w:right="80"/>
        <w:spacing w:after="0" w:line="257" w:lineRule="auto"/>
        <w:rPr>
          <w:sz w:val="20"/>
          <w:szCs w:val="20"/>
          <w:color w:val="auto"/>
        </w:rPr>
      </w:pPr>
      <w:r>
        <w:rPr>
          <w:rFonts w:ascii="Arial" w:cs="Arial" w:eastAsia="Arial" w:hAnsi="Arial"/>
          <w:sz w:val="18"/>
          <w:szCs w:val="18"/>
          <w:color w:val="auto"/>
        </w:rPr>
        <w:t>We are involved in litigation incidental to the operation of our business. We vigorously defend all matters in which we or our subsidiaries are named defendants and, for insurable losses, maintain significant levels of insurance to protect against adverse judgments, claims or assessments that may affect us. Although the adequacy of existing insurance coverage and the outcome of any legal proceedings cannot be predicted with certainty, based on the current information available, we do not believe the ultimate liability associated with any known claims or litigation will have a material adverse effect on our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Self-Insurance</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Self-insurance reserves are maintained relative to company-wide casualty insurance and health benefit programs. The level of exposure from catastrophic events is limited by the purchase of stop-loss and aggregate liability reinsurance coverage. When estimating the self-insurance liabilities and related reserves, management considers several factors, which include historical claims experience, demographic factors, severity factors, and valuations provided by independent third-party actuaries. Management reviews its assumptions with its independent third-party actuaries to evaluate whether the self-insurance reserves are adequate. If actual claims or adverse development of loss reserves occur and exceed these estimates, additional reserves may be required. Reserves in the amounts of $12,256 and $7,253 at December 31, 2022 and 2021, respectively, were established related to such programs and are included in accrued expenses and other current liabilities in our consolidated balance sheets.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86"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As of December 31, 2022, in conjunction with our casualty insurance programs, limited equity interests are held in a captive insurance entity. The programs permit us to self-insure a portion of losses, to gain access to a wide array of safety-related services, to pool insurance risks and resources in order to obtain more competitive pricing for administration and reinsurance and to limit risk of loss in any particular year. The entity meets the definition of Variable Interest Entity (“VIE”); however, we do not meet the requirements to include this entity in the consolidated financial statements. At December 31, 2022, the maximum exposure to loss related to our involvement with this entity is limited to approximately $6,700 and we have a cash deposit of approximately $3,000 with them as collateral to cover any contingency related to additional risk assessments pertaining to our self-insurance programs. See “Self-Insurance” above for further information on commitments associated with the insurance programs. At December 31, 2022, there were no other entities that met the definition of a VIE.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Obligations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At December 31, 2022, we were obligated under various non-cancelable purchase orders with our key suppliers for goods aggregating approximately $69,000, of which approximately $56,000 is with Carrier and its affiliates.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Purchases from Carrier and its affiliates comprised 60%, 61%, and 63% of all inventory purchases made during 2022, 2021, and 2020, respectively.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2022 and 2021, approximately $88,000 and $90,000, respectively, was payable to Carrier and its affiliates, net of receivables. We also sell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HVAC products to Carrier and its affiliates. Revenues in our consolidated statements of income for 2022, 2021, and 2020 included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$97,000, $108,000, and $103,000, respectively, of sales to Carrier and its affiliates. We believe these transactions are conducted on terms equivalent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arm’s-length basis in the ordinary course of business.</w:t>
      </w:r>
    </w:p>
    <w:p>
      <w:pPr>
        <w:spacing w:after="0" w:line="21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 member of our Board of Directors is the Senior Chairman of Greenberg Traurig, P.A., which serves as our principal outside counsel for compliance and acquisition-related legal services. During 2022, 2021, and 2020, fees for services performed were $186, $225, and $156, respectively, and $1 and $34 was payable at December 31, 2022 and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INFORMATION ABOUT GEOGRAPHIC AREAS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Our operations are primarily within the United States, including Puerto Rico, Canada, and Mexico. Products are also sold from the United States on an export-only basis to portions of Latin America and the Caribbean Basin. The following tables set forth revenues and long-lived assets by geographical area:</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44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Years Ended December 31,</w:t>
            </w: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28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rPr>
              <w:t>$6,578,897</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$5,636,929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$4,535,262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Canada</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389,119</w:t>
            </w: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386,780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Latin America and the Caribbean</w:t>
            </w:r>
          </w:p>
        </w:tc>
        <w:tc>
          <w:tcPr>
            <w:tcW w:w="16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306,328</w:t>
            </w:r>
          </w:p>
        </w:tc>
        <w:tc>
          <w:tcPr>
            <w:tcW w:w="320" w:type="dxa"/>
            <w:vAlign w:val="bottom"/>
          </w:tcPr>
          <w:p>
            <w:pPr>
              <w:spacing w:after="0"/>
              <w:rPr>
                <w:sz w:val="19"/>
                <w:szCs w:val="19"/>
                <w:color w:val="auto"/>
              </w:rPr>
            </w:pPr>
          </w:p>
        </w:tc>
        <w:tc>
          <w:tcPr>
            <w:tcW w:w="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256,483</w:t>
            </w:r>
          </w:p>
        </w:tc>
        <w:tc>
          <w:tcPr>
            <w:tcW w:w="3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7,274,344</w:t>
            </w: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6,280,192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December 31,</w:t>
            </w:r>
          </w:p>
        </w:tc>
        <w:tc>
          <w:tcPr>
            <w:tcW w:w="3200" w:type="dxa"/>
            <w:vAlign w:val="bottom"/>
            <w:gridSpan w:val="2"/>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Long-Lived Assets:</w:t>
            </w:r>
          </w:p>
        </w:tc>
        <w:tc>
          <w:tcPr>
            <w:tcW w:w="1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34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$1,009,188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931,170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164,284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175,864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Latin America and the Caribbean</w:t>
            </w:r>
          </w:p>
        </w:tc>
        <w:tc>
          <w:tcPr>
            <w:tcW w:w="1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16,003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17,427</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340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1,189,475</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1,124,461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Revenues are attributed to countries based on the location of the store from which the sale occurred. Long-lived assets consist primarily of goodwill and intangible assets, operating lease ROU assets, property and equipment, and our investment in an unconsolidated entity.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86"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SUPPLEMENTAL CASH FLOW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cash flow information was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Years Ended December 31,</w:t>
            </w:r>
          </w:p>
        </w:tc>
        <w:tc>
          <w:tcPr>
            <w:tcW w:w="18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paid</w:t>
            </w:r>
          </w:p>
        </w:tc>
        <w:tc>
          <w:tcPr>
            <w:tcW w:w="3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3,505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1,844</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Income taxes net of refunds</w:t>
            </w:r>
          </w:p>
        </w:tc>
        <w:tc>
          <w:tcPr>
            <w:tcW w:w="3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105,736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124,984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70,889</w:t>
            </w:r>
          </w:p>
        </w:tc>
        <w:tc>
          <w:tcPr>
            <w:tcW w:w="12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for MIS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Common stock issued for ACME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for N&amp;S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r>
      <w:tr>
        <w:trPr>
          <w:trHeight w:val="365"/>
        </w:trPr>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80" w:type="dxa"/>
            <w:vAlign w:val="bottom"/>
            <w:gridSpan w:val="2"/>
          </w:tcPr>
          <w:p>
            <w:pPr>
              <w:jc w:val="right"/>
              <w:ind w:right="1730"/>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86" w:right="13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table sets forth the significant subsidiaries of Watsco, Inc. as of December 31, 2022, and their respective incorporation jurisdictions. The names of various other wholly owned subsidiaries have been omitted. None of the foregoing omitted subsidiaries, considered either alone or in the aggregate as a single subsidiary, constitutes a significant subsidiary.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720" w:type="dxa"/>
            <w:vAlign w:val="bottom"/>
          </w:tcPr>
          <w:p>
            <w:pPr>
              <w:spacing w:after="0"/>
              <w:rPr>
                <w:sz w:val="14"/>
                <w:szCs w:val="14"/>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State or Other Jurisdiction</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Percent of Ownership</w:t>
            </w:r>
          </w:p>
        </w:tc>
        <w:tc>
          <w:tcPr>
            <w:tcW w:w="0" w:type="dxa"/>
            <w:vAlign w:val="bottom"/>
          </w:tcPr>
          <w:p>
            <w:pPr>
              <w:spacing w:after="0"/>
              <w:rPr>
                <w:sz w:val="1"/>
                <w:szCs w:val="1"/>
                <w:color w:val="auto"/>
              </w:rPr>
            </w:pPr>
          </w:p>
        </w:tc>
      </w:tr>
      <w:tr>
        <w:trPr>
          <w:trHeight w:val="191"/>
        </w:trPr>
        <w:tc>
          <w:tcPr>
            <w:tcW w:w="5640" w:type="dxa"/>
            <w:vAlign w:val="bottom"/>
            <w:gridSpan w:val="2"/>
            <w:vMerge w:val="continue"/>
          </w:tcPr>
          <w:p>
            <w:pPr>
              <w:spacing w:after="0"/>
              <w:rPr>
                <w:sz w:val="16"/>
                <w:szCs w:val="16"/>
                <w:color w:val="auto"/>
              </w:rPr>
            </w:pPr>
          </w:p>
        </w:tc>
        <w:tc>
          <w:tcPr>
            <w:tcW w:w="172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of Incorporation</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7"/>
              </w:rPr>
              <w:t>Acme Refrigeration</w:t>
            </w:r>
          </w:p>
        </w:tc>
        <w:tc>
          <w:tcPr>
            <w:tcW w:w="4420" w:type="dxa"/>
            <w:vAlign w:val="bottom"/>
          </w:tcPr>
          <w:p>
            <w:pPr>
              <w:ind w:left="260"/>
              <w:spacing w:after="0" w:line="189" w:lineRule="exact"/>
              <w:rPr>
                <w:sz w:val="20"/>
                <w:szCs w:val="20"/>
                <w:color w:val="auto"/>
              </w:rPr>
            </w:pPr>
            <w:r>
              <w:rPr>
                <w:rFonts w:ascii="Arial" w:cs="Arial" w:eastAsia="Arial" w:hAnsi="Arial"/>
                <w:sz w:val="18"/>
                <w:szCs w:val="18"/>
                <w:color w:val="auto"/>
              </w:rPr>
              <w:t>LLC</w:t>
            </w:r>
          </w:p>
        </w:tc>
        <w:tc>
          <w:tcPr>
            <w:tcW w:w="1720" w:type="dxa"/>
            <w:vAlign w:val="bottom"/>
          </w:tcPr>
          <w:p>
            <w:pPr>
              <w:spacing w:after="0"/>
              <w:rPr>
                <w:sz w:val="16"/>
                <w:szCs w:val="16"/>
                <w:color w:val="auto"/>
              </w:rPr>
            </w:pPr>
          </w:p>
        </w:tc>
        <w:tc>
          <w:tcPr>
            <w:tcW w:w="1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260" w:type="dxa"/>
            <w:vAlign w:val="bottom"/>
          </w:tcPr>
          <w:p>
            <w:pPr>
              <w:spacing w:after="0"/>
              <w:rPr>
                <w:sz w:val="16"/>
                <w:szCs w:val="16"/>
                <w:color w:val="auto"/>
              </w:rPr>
            </w:pPr>
          </w:p>
        </w:tc>
        <w:tc>
          <w:tcPr>
            <w:tcW w:w="15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Alert Labs Inc.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Ontario, Canada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Baker Distributing Company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Boreal International Corporation</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Florida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Enterprise Canada, L.P.</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Ontario, Canada</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Enterprise Mexico S. de R.L. de C.V.</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Mexico</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Enterprise Servicios Mexico S. de R.L. de C.V.</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Mexico</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Expert TTL Solutions S. de R.L. de C.V.</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Mexico</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Enterprise,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Enterprise Northeast,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InterAmerica Corporation</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Carrier (Puerto Rico), Inc.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East Coast Metal Distributors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Gemaire Distributors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Heating &amp; Cooling Supply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California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Homans Associates II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N&amp;S Supply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Peirce-Phelps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TEC Distribution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Tradewinds Distributing Company, LLC</w:t>
            </w:r>
          </w:p>
        </w:tc>
        <w:tc>
          <w:tcPr>
            <w:tcW w:w="3840" w:type="dxa"/>
            <w:vAlign w:val="bottom"/>
            <w:gridSpan w:val="3"/>
          </w:tcPr>
          <w:p>
            <w:pPr>
              <w:ind w:left="1720"/>
              <w:spacing w:after="0"/>
              <w:rPr>
                <w:sz w:val="20"/>
                <w:szCs w:val="20"/>
                <w:color w:val="auto"/>
              </w:rPr>
            </w:pPr>
            <w:r>
              <w:rPr>
                <w:rFonts w:ascii="Arial" w:cs="Arial" w:eastAsia="Arial" w:hAnsi="Arial"/>
                <w:sz w:val="18"/>
                <w:szCs w:val="18"/>
                <w:color w:val="auto"/>
              </w:rPr>
              <w:t>Delaware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(No. 333-260758) on Form S-3 and (No. 333-256872, 333-197795, and 333-185345) on Form S-8 of our reports dated February 24, 2023, with respect to the consolidated financial statements of Watsco, Inc. and the effectiveness of internal control over financial reporting.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020"/>
          </w:cols>
          <w:pgMar w:left="440" w:top="121"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Albert H. Nahmad, certify that:</w:t>
      </w:r>
    </w:p>
    <w:p>
      <w:pPr>
        <w:spacing w:after="0" w:line="131"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Watsco,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91"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20" w:hanging="532"/>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24, 2023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Albert H. Nahmad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4"/>
          </w:cols>
          <w:pgMar w:left="436" w:top="12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Barry S. Logan, certify that:</w:t>
      </w:r>
    </w:p>
    <w:p>
      <w:pPr>
        <w:spacing w:after="0" w:line="131"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Watsco,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91" w:lineRule="auto"/>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2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24, 2023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Barry S. Logan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Vice President</w:t>
      </w:r>
    </w:p>
    <w:p>
      <w:pPr>
        <w:sectPr>
          <w:pgSz w:w="11900" w:h="16838" w:orient="portrait"/>
          <w:cols w:equalWidth="0" w:num="1">
            <w:col w:w="11024"/>
          </w:cols>
          <w:pgMar w:left="436" w:top="121"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Ana M. Menendez, certify that:</w:t>
      </w:r>
    </w:p>
    <w:p>
      <w:pPr>
        <w:spacing w:after="0" w:line="131"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Watsco,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91"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2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24, 2023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Ana M. Menendez</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Annual Report of Watsco, Inc. (“Watsco”) on Form 10-K for the year ended December 31, 2022, as filed with the Securities and Exchange Commission on the date hereof (the “Report”), Albert H. Nahmad, as Chief Executive Officer of Watsco, Barry S. Logan, as Executive Vice President of Watsco and Ana M. Menendez, as Chief Financial Officer of Watsco, each hereby certifies, pursuant to 18 U.S.C. § 1350, as adopted pursuant to § 906 of the Sarbanes-Oxley Act of 2002, that, to our knowledge:</w:t>
      </w:r>
    </w:p>
    <w:p>
      <w:pPr>
        <w:spacing w:after="0" w:line="92" w:lineRule="exact"/>
        <w:rPr>
          <w:sz w:val="20"/>
          <w:szCs w:val="20"/>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Watsco.</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Albert H. Nahmad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24, 2023</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Barry S. Logan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24, 2023</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 M. Menendez</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24, 2023</w:t>
      </w:r>
    </w:p>
    <w:p>
      <w:pPr>
        <w:spacing w:after="0" w:line="22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Watsco and will be retained by Watsco and furnished to the Securities and Exchange Commission or its staff upon request.</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Watsco for purposes of Section 18 of the Securities Exchange Act of 1934, as amended.</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Roman"/>
      <w:start w:val="3"/>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3"/>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Roman"/>
      <w:start w:val="3"/>
    </w:lvl>
    <w:lvl w:ilvl="1">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0"/>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4"/>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18"/>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60"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39" Type="http://schemas.openxmlformats.org/officeDocument/2006/relationships/hyperlink" Target="http://www.sec.gov/Archives/edgar/data/105016/000119312512346835/d359139dex31.htm" TargetMode="External"/><Relationship Id="rId40" Type="http://schemas.openxmlformats.org/officeDocument/2006/relationships/hyperlink" Target="http://www.sec.gov/Archives/edgar/data/105016/000119312516673519/d225223dex31.htm" TargetMode="External"/><Relationship Id="rId41" Type="http://schemas.openxmlformats.org/officeDocument/2006/relationships/hyperlink" Target="http://www.sec.gov/Archives/edgar/data/105016/000119312520056004/d838752dex43.htm" TargetMode="External"/><Relationship Id="rId42" Type="http://schemas.openxmlformats.org/officeDocument/2006/relationships/hyperlink" Target="http://www.sec.gov/Archives/edgar/data/105016/0000950170-96-000212.txt" TargetMode="External"/><Relationship Id="rId44" Type="http://schemas.openxmlformats.org/officeDocument/2006/relationships/hyperlink" Target="http://www.sec.gov/Archives/edgar/data/105016/000095017001000463/0000950170-01-000463-0002.txt" TargetMode="External"/><Relationship Id="rId45" Type="http://schemas.openxmlformats.org/officeDocument/2006/relationships/hyperlink" Target="http://www.sec.gov/Archives/edgar/data/105016/000102140802004328/dex1015.txt" TargetMode="External"/><Relationship Id="rId46" Type="http://schemas.openxmlformats.org/officeDocument/2006/relationships/hyperlink" Target="http://www.sec.gov/Archives/edgar/data/105016/000102140803005436/dex1011.txt" TargetMode="External"/><Relationship Id="rId47" Type="http://schemas.openxmlformats.org/officeDocument/2006/relationships/hyperlink" Target="http://www.sec.gov/Archives/edgar/data/105016/000119312504083802/dex101.htm" TargetMode="External"/><Relationship Id="rId48" Type="http://schemas.openxmlformats.org/officeDocument/2006/relationships/hyperlink" Target="http://www.sec.gov/Archives/edgar/data/105016/000119312505102699/dex101.htm" TargetMode="External"/><Relationship Id="rId49" Type="http://schemas.openxmlformats.org/officeDocument/2006/relationships/hyperlink" Target="http://www.sec.gov/Archives/edgar/data/105016/000119312506056680/dex1016.htm" TargetMode="External"/><Relationship Id="rId50" Type="http://schemas.openxmlformats.org/officeDocument/2006/relationships/hyperlink" Target="http://www.sec.gov/Archives/edgar/data/105016/000119312507044058/dex1018.htm" TargetMode="External"/><Relationship Id="rId51" Type="http://schemas.openxmlformats.org/officeDocument/2006/relationships/hyperlink" Target="http://www.sec.gov/Archives/edgar/data/105016/000119312508108898/dex101.htm" TargetMode="External"/><Relationship Id="rId52" Type="http://schemas.openxmlformats.org/officeDocument/2006/relationships/hyperlink" Target="http://www.sec.gov/Archives/edgar/data/105016/000119312509040910/dex1019.htm" TargetMode="External"/><Relationship Id="rId53" Type="http://schemas.openxmlformats.org/officeDocument/2006/relationships/hyperlink" Target="http://www.sec.gov/Archives/edgar/data/105016/000119312509105445/dex101.htm" TargetMode="External"/><Relationship Id="rId54" Type="http://schemas.openxmlformats.org/officeDocument/2006/relationships/hyperlink" Target="http://www.sec.gov/Archives/edgar/data/105016/000119312510112258/dex101.htm" TargetMode="External"/><Relationship Id="rId55" Type="http://schemas.openxmlformats.org/officeDocument/2006/relationships/hyperlink" Target="http://www.sec.gov/Archives/edgar/data/105016/000119312511133933/dex101.htm" TargetMode="External"/><Relationship Id="rId56" Type="http://schemas.openxmlformats.org/officeDocument/2006/relationships/hyperlink" Target="http://www.sec.gov/Archives/edgar/data/105016/000119312512220966/d318124dex101.htm" TargetMode="External"/><Relationship Id="rId57" Type="http://schemas.openxmlformats.org/officeDocument/2006/relationships/hyperlink" Target="http://www.sec.gov/Archives/edgar/data/105016/000119312513186949/d497006dex101.htm" TargetMode="External"/><Relationship Id="rId58" Type="http://schemas.openxmlformats.org/officeDocument/2006/relationships/hyperlink" Target="http://www.sec.gov/Archives/edgar/data/105016/000119312514177150/d690432dex101.htm" TargetMode="External"/><Relationship Id="rId59" Type="http://schemas.openxmlformats.org/officeDocument/2006/relationships/hyperlink" Target="http://www.sec.gov/Archives/edgar/data/105016/000119312515177219/d885926dex101.htm" TargetMode="External"/><Relationship Id="rId61" Type="http://schemas.openxmlformats.org/officeDocument/2006/relationships/hyperlink" Target="http://www.sec.gov/Archives/edgar/data/105016/000119312516581368/d152457dex101.htm" TargetMode="External"/><Relationship Id="rId62" Type="http://schemas.openxmlformats.org/officeDocument/2006/relationships/hyperlink" Target="http://www.sec.gov/Archives/edgar/data/105016/000119312517160753/d328675dex101.htm" TargetMode="External"/><Relationship Id="rId63" Type="http://schemas.openxmlformats.org/officeDocument/2006/relationships/hyperlink" Target="http://www.sec.gov/Archives/edgar/data/105016/000119312518157322/d550442dex101.htm" TargetMode="External"/><Relationship Id="rId64" Type="http://schemas.openxmlformats.org/officeDocument/2006/relationships/hyperlink" Target="http://www.sec.gov/Archives/edgar/data/105016/000119312519142592/d683869dex101.htm" TargetMode="External"/><Relationship Id="rId65" Type="http://schemas.openxmlformats.org/officeDocument/2006/relationships/hyperlink" Target="http://www.sec.gov/Archives/edgar/data/105016/000119312520135959/d898966dex101.htm" TargetMode="External"/><Relationship Id="rId66" Type="http://schemas.openxmlformats.org/officeDocument/2006/relationships/hyperlink" Target="http://www.sec.gov/Archives/edgar/data/105016/000119312521060167/d23330dex101w.htm" TargetMode="External"/><Relationship Id="rId67" Type="http://schemas.openxmlformats.org/officeDocument/2006/relationships/hyperlink" Target="http://www.sec.gov/Archives/edgar/data/105016/000119312522054394/d278286dex101x.htm" TargetMode="External"/><Relationship Id="rId68" Type="http://schemas.openxmlformats.org/officeDocument/2006/relationships/hyperlink" Target="http://www.sec.gov/Archives/edgar/data/105016/000119312514147677/d672456ddef14a.htm#toc672456_16" TargetMode="External"/><Relationship Id="rId69" Type="http://schemas.openxmlformats.org/officeDocument/2006/relationships/hyperlink" Target="http://www.sec.gov/Archives/edgar/data/105016/000119312521143210/d123850ddef14a.htm#toc123850_17" TargetMode="External"/><Relationship Id="rId70" Type="http://schemas.openxmlformats.org/officeDocument/2006/relationships/hyperlink" Target="http://www.sec.gov/Archives/edgar/data/105016/000119312511117841/ddef14a.htm#toc171784_17" TargetMode="External"/><Relationship Id="rId71" Type="http://schemas.openxmlformats.org/officeDocument/2006/relationships/hyperlink" Target="http://www.sec.gov/Archives/edgar/data/105016/000119312518347055/d638384dex101.htm" TargetMode="External"/><Relationship Id="rId72" Type="http://schemas.openxmlformats.org/officeDocument/2006/relationships/hyperlink" Target="http://www.sec.gov/Archives/edgar/data/105016/000119312520108685/d839564dex101.htm" TargetMode="External"/><Relationship Id="rId73" Type="http://schemas.openxmlformats.org/officeDocument/2006/relationships/hyperlink" Target="http://www.sec.gov/Archives/edgar/data/105016/000119312522054394/d278286dex105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2023-02-24T18:43:05Z</dcterms:created>
  <dcterms:modified xsi:type="dcterms:W3CDTF">2023-02-24T18:43:05Z</dcterms:modified>
</cp:coreProperties>
</file>